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539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137"/>
        <w:gridCol w:w="1410"/>
        <w:gridCol w:w="1709"/>
        <w:gridCol w:w="281"/>
        <w:gridCol w:w="1700"/>
        <w:gridCol w:w="812"/>
        <w:gridCol w:w="42"/>
        <w:gridCol w:w="2835"/>
      </w:tblGrid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 разработке предлагаемого правового регулирования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(наименование разработчика)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D26DE6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извещает о начале обсуждения предлагаемого правового регулирования и сборе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заинтересованных лиц 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E6" w:rsidRPr="0019456B" w:rsidRDefault="00D26DE6" w:rsidP="005A6FAB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>Санкт-</w:t>
            </w:r>
            <w:proofErr w:type="spellStart"/>
            <w:r w:rsidR="005A6FAB">
              <w:rPr>
                <w:rFonts w:ascii="Times New Roman" w:hAnsi="Times New Roman" w:cs="Times New Roman"/>
                <w:sz w:val="28"/>
                <w:szCs w:val="28"/>
              </w:rPr>
              <w:t>Петеребургская</w:t>
            </w:r>
            <w:proofErr w:type="spellEnd"/>
            <w:r w:rsidR="005A6FAB">
              <w:rPr>
                <w:rFonts w:ascii="Times New Roman" w:hAnsi="Times New Roman" w:cs="Times New Roman"/>
                <w:sz w:val="28"/>
                <w:szCs w:val="28"/>
              </w:rPr>
              <w:t>, 6/11, каб.88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742C51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 также по электронной почте:</w:t>
            </w:r>
            <w:r>
              <w:t xml:space="preserve"> 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gridSpan w:val="4"/>
            <w:tcBorders>
              <w:top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6363C2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 xml:space="preserve"> с 26.01.2024 года по 05.02.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9" w:type="dxa"/>
            <w:gridSpan w:val="4"/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5A6FAB" w:rsidRDefault="00D26DE6" w:rsidP="005A6FAB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 w:rsidRPr="005A6FA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Интернет: </w:t>
            </w:r>
            <w:hyperlink r:id="rId5" w:history="1">
              <w:r w:rsidR="005A6FAB" w:rsidRPr="006469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https://novgorodskij-rayon.gosuslugi.ru/deyatelnost/napravleniya-deyatelnosti/otsenka-reguliruyuschego-vozdeystviya/provedenie-otsenki-reguliruyuschego-vozdeystviya/</w:t>
              </w:r>
            </w:hyperlink>
            <w:r w:rsidR="005A6F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</w:rPr>
              <w:t xml:space="preserve">https://regulation.novreg.ru/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6FA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(далее - единый региональный портал).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(полный электронный адрес)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будут рассмотрены.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7613" w:type="dxa"/>
            <w:gridSpan w:val="7"/>
            <w:tcBorders>
              <w:top w:val="nil"/>
              <w:bottom w:val="nil"/>
            </w:tcBorders>
          </w:tcPr>
          <w:p w:rsidR="00D26DE6" w:rsidRPr="0019456B" w:rsidRDefault="00D26DE6" w:rsidP="005A6FAB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Сводка предложений будет размещена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  <w:hyperlink r:id="rId6" w:history="1">
              <w:r w:rsidR="005A6FAB" w:rsidRPr="005A6F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https://novgorodskij-rayon.gosuslugi.ru/deyatelnost/napravleniya-deyatelnosti/otsenka-reguliruyuschego-vozdeystviya/provedenie-otsenki-reguliruyuschego-vozdeystviya/</w:t>
              </w:r>
            </w:hyperlink>
          </w:p>
        </w:tc>
        <w:tc>
          <w:tcPr>
            <w:tcW w:w="2877" w:type="dxa"/>
            <w:gridSpan w:val="2"/>
            <w:tcBorders>
              <w:top w:val="nil"/>
            </w:tcBorders>
          </w:tcPr>
          <w:p w:rsidR="00D26DE6" w:rsidRPr="0019456B" w:rsidRDefault="00D26DE6" w:rsidP="00916108">
            <w:pPr>
              <w:pStyle w:val="ConsPlusNormal"/>
              <w:suppressAutoHyphens w:val="0"/>
              <w:ind w:left="1857" w:hanging="18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789" w:type="dxa"/>
            <w:gridSpan w:val="7"/>
            <w:tcBorders>
              <w:top w:val="nil"/>
            </w:tcBorders>
          </w:tcPr>
          <w:p w:rsidR="00D26DE6" w:rsidRPr="0019456B" w:rsidRDefault="005A6FAB" w:rsidP="006363C2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14.02.2024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 Описание проблемы, на решение которой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 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1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отсутствие нормативной базы для предоставления субсидий в целях возмещения затрат на приобретение горюче-смазочных материалов при осуществлении доставки и реализации товаров в отдалённых и труднодоступных населённых пунктах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Новгородского муниципального района</w:t>
            </w:r>
          </w:p>
        </w:tc>
      </w:tr>
      <w:tr w:rsidR="00D26DE6" w:rsidRPr="00167897" w:rsidTr="005A6FAB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801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 Цели предлагаемого правового регулирования:</w:t>
            </w:r>
          </w:p>
        </w:tc>
        <w:tc>
          <w:tcPr>
            <w:tcW w:w="3689" w:type="dxa"/>
            <w:gridSpan w:val="3"/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916108" w:rsidRDefault="00D26DE6" w:rsidP="00916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916108">
              <w:rPr>
                <w:rFonts w:eastAsia="Calibri"/>
                <w:sz w:val="28"/>
                <w:szCs w:val="28"/>
                <w:lang w:eastAsia="en-US"/>
              </w:rPr>
              <w:t xml:space="preserve">обеспечение населения отдаленных населенных пунктов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Новгородского муниципального </w:t>
            </w:r>
            <w:r w:rsidRPr="00916108">
              <w:rPr>
                <w:rFonts w:eastAsia="Calibri"/>
                <w:sz w:val="28"/>
                <w:szCs w:val="28"/>
                <w:lang w:eastAsia="en-US"/>
              </w:rPr>
              <w:t>района продуктами питания и товарами первой необходимости.</w:t>
            </w:r>
          </w:p>
          <w:p w:rsidR="00D26DE6" w:rsidRPr="006363C2" w:rsidRDefault="00D26DE6" w:rsidP="006363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5A6FAB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 Ожидаемый результат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нормативного правового акта будет способствовать оказанию поддержки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МСП в части касающейся обеспечения товарами первой необходимости и продуктами питания 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>жителей отдаленных и (или) труднодоступных населённых пунктов Новгородского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10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916108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 процентов затрат на приобретение ГСМ.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Действующие нормативные правовые акты, поручения, другие решения, из которых вытекает необходимость разработки предлагаемого правового</w:t>
            </w:r>
            <w:r>
              <w:t xml:space="preserve"> </w:t>
            </w:r>
            <w:r w:rsidRPr="009B3A61">
              <w:rPr>
                <w:rFonts w:ascii="Times New Roman" w:hAnsi="Times New Roman" w:cs="Times New Roman"/>
                <w:sz w:val="28"/>
                <w:szCs w:val="28"/>
              </w:rPr>
              <w:t>регулирования в данной области:</w:t>
            </w:r>
            <w:r w:rsidRPr="006363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проект 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>постановления разработан соответствии со статьей 78 Бюджетного кодекса Российской Федерации, муниципальной программой «Развитие торговли в Новгородс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>ком муниципальном районе на 2023-2025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5A6FAB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 Планируемый срок вступления в силу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 Сведения о необходимости или отсутствии необходимости 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переходного периода: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DE6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переходный период не требуется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выявленной проблемы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не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 процентов затрат на приобретение ГСМ в 2022 и 2023 годах. Субъекты торговли не отказываются от обслуживания жителей труднодоступных </w:t>
            </w:r>
            <w:r w:rsidRPr="00D26DE6">
              <w:rPr>
                <w:rStyle w:val="markedcontent"/>
                <w:sz w:val="28"/>
                <w:szCs w:val="28"/>
              </w:rPr>
              <w:lastRenderedPageBreak/>
              <w:t>населенных пунктов, сфера торговли развивается, появляются новые автомагазины;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lastRenderedPageBreak/>
              <w:t>жители отдаленных населенных пунктов рискуют остаться без обеспечения продуктами питания и товарами первой необходимости;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адресатов регулирования исключены;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деятельность субъектов торговли, которые обеспечивают жителей отдаленных населенных пунктов услугами торговли посредством мобильных торговых объектов, нерентабельная;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bottom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D26DE6" w:rsidRPr="0019456B" w:rsidRDefault="00D26DE6" w:rsidP="00CC7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требуются дополнительные расходы бюджета муниципального района в форме </w:t>
            </w:r>
            <w:proofErr w:type="spellStart"/>
            <w:r w:rsidRPr="00D26DE6">
              <w:rPr>
                <w:rStyle w:val="markedcontent"/>
                <w:sz w:val="28"/>
                <w:szCs w:val="28"/>
              </w:rPr>
              <w:t>софинансирования</w:t>
            </w:r>
            <w:proofErr w:type="spellEnd"/>
            <w:r w:rsidRPr="00D26DE6">
              <w:rPr>
                <w:rStyle w:val="markedcontent"/>
                <w:sz w:val="28"/>
                <w:szCs w:val="28"/>
              </w:rPr>
              <w:t xml:space="preserve"> региональных средств, которые позволят решить социально-значимые задачи;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бюджета исключены;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Цель достижима;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 -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риски незначительны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жители отдаленных населенных пунктов рискуют остаться без обеспечения продуктами питания и товарами первой необходимости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Анализ влияния вводимого проектом акта правового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на состояние конкуренции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D26D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НПА окажет влияние на развитие </w:t>
            </w:r>
            <w:r w:rsidRPr="00D2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D26DE6">
            <w:pPr>
              <w:ind w:firstLine="708"/>
              <w:jc w:val="both"/>
              <w:rPr>
                <w:sz w:val="28"/>
                <w:szCs w:val="28"/>
              </w:rPr>
            </w:pPr>
            <w:r w:rsidRPr="0019456B">
              <w:rPr>
                <w:sz w:val="28"/>
                <w:szCs w:val="28"/>
              </w:rPr>
              <w:lastRenderedPageBreak/>
              <w:t>Обоснование выбора предпочтительного варианта предлагаемого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19456B">
              <w:rPr>
                <w:sz w:val="28"/>
                <w:szCs w:val="28"/>
              </w:rPr>
              <w:t>регулирования выявленной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D26DE6" w:rsidRPr="00D26DE6" w:rsidRDefault="00D26DE6" w:rsidP="00D26DE6">
            <w:pPr>
              <w:ind w:firstLine="708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proofErr w:type="gramStart"/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единственным правильным вариантом проблемы может стать только принятие Порядка 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Новгородского </w:t>
            </w: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муниципального района услугами торговли посредством мобильных торговых объектов, осуществляющих доставку и реализацию товаров.</w:t>
            </w:r>
            <w:proofErr w:type="gramEnd"/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8. Иная информация по решению разработчика, относящаяся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сведениям о подготовке идеи (концепции) предлагаемого правового регулирования: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5A6FAB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26DE6" w:rsidRPr="00D26DE6" w:rsidRDefault="00D26DE6" w:rsidP="00D26DE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Примерный перечень вопросов для участников публичных консультаций</w:t>
            </w:r>
          </w:p>
          <w:p w:rsidR="00D26DE6" w:rsidRPr="00D26DE6" w:rsidRDefault="00D26DE6" w:rsidP="00D26DE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42C51">
              <w:rPr>
                <w:sz w:val="28"/>
                <w:szCs w:val="28"/>
              </w:rPr>
              <w:t>разработке проекта Постановления Администра</w:t>
            </w:r>
            <w:r>
              <w:rPr>
                <w:sz w:val="28"/>
                <w:szCs w:val="28"/>
              </w:rPr>
              <w:t>ции Новгородского муниципального района</w:t>
            </w:r>
            <w:r w:rsidR="00742C51">
              <w:rPr>
                <w:sz w:val="28"/>
                <w:szCs w:val="28"/>
              </w:rPr>
              <w:t xml:space="preserve"> о</w:t>
            </w:r>
            <w:r w:rsidRPr="00D26DE6">
              <w:rPr>
                <w:sz w:val="28"/>
                <w:szCs w:val="28"/>
              </w:rPr>
              <w:t xml:space="preserve">б утверждении Порядка предоставления субсидий юридическим лицам и индивидуальным предпринимателям, осуществляющим деятельность по оказанию услуг по доставке товаров жителям малочисленных и (или) труднодоступных сельских населенных пунктов муниципального района с использованием </w:t>
            </w:r>
            <w:r w:rsidR="00742C51">
              <w:rPr>
                <w:sz w:val="28"/>
                <w:szCs w:val="28"/>
              </w:rPr>
              <w:t>автомагазинов.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 </w:t>
            </w:r>
            <w:hyperlink r:id="rId7" w:history="1"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admra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ec</w:t>
              </w:r>
              <w:r w:rsidR="00742C51" w:rsidRPr="009F0BB3">
                <w:rPr>
                  <w:rStyle w:val="a3"/>
                  <w:sz w:val="28"/>
                  <w:szCs w:val="28"/>
                </w:rPr>
                <w:t>@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42C51" w:rsidRPr="00742C51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или по адресу:</w:t>
            </w:r>
            <w:r w:rsidR="00742C51" w:rsidRPr="00742C51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Великий Новгород</w:t>
            </w:r>
            <w:r w:rsidRPr="00D26DE6">
              <w:rPr>
                <w:sz w:val="28"/>
                <w:szCs w:val="28"/>
              </w:rPr>
              <w:t xml:space="preserve">, ул. </w:t>
            </w:r>
            <w:r w:rsidR="00742C51">
              <w:rPr>
                <w:sz w:val="28"/>
                <w:szCs w:val="28"/>
              </w:rPr>
              <w:t>Большая</w:t>
            </w:r>
            <w:r w:rsidR="005A6FAB">
              <w:rPr>
                <w:sz w:val="28"/>
                <w:szCs w:val="28"/>
              </w:rPr>
              <w:t xml:space="preserve"> Санкт-Петербургская</w:t>
            </w:r>
            <w:r w:rsidRPr="00D26DE6">
              <w:rPr>
                <w:sz w:val="28"/>
                <w:szCs w:val="28"/>
              </w:rPr>
              <w:t xml:space="preserve">, д. </w:t>
            </w:r>
            <w:r w:rsidR="005A6FAB">
              <w:rPr>
                <w:sz w:val="28"/>
                <w:szCs w:val="28"/>
              </w:rPr>
              <w:t>6/11</w:t>
            </w:r>
            <w:r w:rsidRPr="00D26DE6">
              <w:rPr>
                <w:sz w:val="28"/>
                <w:szCs w:val="28"/>
              </w:rPr>
              <w:t>,</w:t>
            </w:r>
            <w:r w:rsidR="005A6FAB">
              <w:rPr>
                <w:sz w:val="28"/>
                <w:szCs w:val="28"/>
              </w:rPr>
              <w:t xml:space="preserve"> </w:t>
            </w:r>
            <w:proofErr w:type="spellStart"/>
            <w:r w:rsidR="005A6FAB">
              <w:rPr>
                <w:sz w:val="28"/>
                <w:szCs w:val="28"/>
              </w:rPr>
              <w:t>каб</w:t>
            </w:r>
            <w:proofErr w:type="spellEnd"/>
            <w:r w:rsidR="005A6FAB">
              <w:rPr>
                <w:sz w:val="28"/>
                <w:szCs w:val="28"/>
              </w:rPr>
              <w:t>. 88</w:t>
            </w:r>
            <w:r w:rsidRPr="00D26DE6">
              <w:rPr>
                <w:sz w:val="28"/>
                <w:szCs w:val="28"/>
              </w:rPr>
              <w:t xml:space="preserve"> </w:t>
            </w:r>
            <w:r w:rsidR="005A6FAB">
              <w:rPr>
                <w:sz w:val="28"/>
                <w:szCs w:val="28"/>
              </w:rPr>
              <w:t xml:space="preserve">комитет экономики и проектного управления </w:t>
            </w:r>
            <w:r w:rsidR="00742C51">
              <w:rPr>
                <w:sz w:val="28"/>
                <w:szCs w:val="28"/>
              </w:rPr>
              <w:t>Администрации Новгород</w:t>
            </w:r>
            <w:r w:rsidRPr="00D26DE6">
              <w:rPr>
                <w:sz w:val="28"/>
                <w:szCs w:val="28"/>
              </w:rPr>
              <w:t>ского муниципального района не позднее 0</w:t>
            </w:r>
            <w:r w:rsidR="005A6FAB">
              <w:rPr>
                <w:sz w:val="28"/>
                <w:szCs w:val="28"/>
              </w:rPr>
              <w:t>6 февраля 2024</w:t>
            </w:r>
            <w:bookmarkStart w:id="0" w:name="_GoBack"/>
            <w:bookmarkEnd w:id="0"/>
            <w:r w:rsidRPr="00D26DE6">
              <w:rPr>
                <w:sz w:val="28"/>
                <w:szCs w:val="28"/>
              </w:rPr>
              <w:t xml:space="preserve"> года. 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Контактная информация: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Название организации / фамилия, имя, отчество ________________________________________________________________________________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Сфера деятельности 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Фамилия, имя, отчество контактного лица 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Номер контактного телефона 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Адрес электронной почты 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1. Является ли предполагаемое регулирование оптимальным способом решения проблемы?___________________________________________________________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2. Какие риски и негативные последствия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lastRenderedPageBreak/>
              <w:t>3. Какие выгоды и преимущества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4. Существуют ли альтернативные (менее затратные и (или) более эффективные) способы решения проблемы?_______________________________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5. Ваше общее мнение по предполагаемому регулированию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__________________________________________________________________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3C2" w:rsidRPr="00167897" w:rsidRDefault="006363C2" w:rsidP="00636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550293"/>
    <w:rsid w:val="005A6FAB"/>
    <w:rsid w:val="006363C2"/>
    <w:rsid w:val="00742C51"/>
    <w:rsid w:val="00916108"/>
    <w:rsid w:val="00CC7831"/>
    <w:rsid w:val="00D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ra.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gorodskij-rayon.gosuslugi.ru/deyatelnost/napravleniya-deyatelnosti/otsenka-reguliruyuschego-vozdeystviya/provedenie-otsenki-reguliruyuschego-vozdeystviya/" TargetMode="External"/><Relationship Id="rId5" Type="http://schemas.openxmlformats.org/officeDocument/2006/relationships/hyperlink" Target="https://novgorodskij-rayon.gosuslugi.ru/deyatelnost/napravleniya-deyatelnosti/otsenka-reguliruyuschego-vozdeystviya/provedenie-otsenki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2024-01-22T08:58:00Z</dcterms:created>
  <dcterms:modified xsi:type="dcterms:W3CDTF">2024-01-22T08:58:00Z</dcterms:modified>
</cp:coreProperties>
</file>