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0345B" w:rsidRDefault="0030345B" w:rsidP="0030345B">
      <w:pPr>
        <w:jc w:val="center"/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</w:pP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>Отчет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>об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>исполнении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>бюджета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>Новгородского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>муниципального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>района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>за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 xml:space="preserve"> 2015 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>год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</w:p>
    <w:p w:rsidR="00063E98" w:rsidRDefault="0030345B" w:rsidP="0030345B">
      <w:pPr>
        <w:jc w:val="center"/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</w:pP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>(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>бюджет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>для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>граждан</w:t>
      </w:r>
      <w:r w:rsidRPr="0030345B"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  <w:t>)</w:t>
      </w:r>
    </w:p>
    <w:p w:rsidR="0030345B" w:rsidRDefault="0030345B" w:rsidP="0030345B">
      <w:pPr>
        <w:jc w:val="center"/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</w:pPr>
    </w:p>
    <w:p w:rsidR="0030345B" w:rsidRDefault="0030345B" w:rsidP="0030345B">
      <w:pPr>
        <w:jc w:val="center"/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</w:pPr>
    </w:p>
    <w:p w:rsidR="0030345B" w:rsidRDefault="0030345B" w:rsidP="0030345B">
      <w:pPr>
        <w:jc w:val="center"/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</w:pPr>
    </w:p>
    <w:p w:rsidR="0030345B" w:rsidRDefault="0030345B" w:rsidP="0030345B">
      <w:pPr>
        <w:jc w:val="center"/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</w:pPr>
    </w:p>
    <w:p w:rsidR="0030345B" w:rsidRDefault="0030345B" w:rsidP="0030345B">
      <w:pPr>
        <w:jc w:val="center"/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</w:pPr>
    </w:p>
    <w:p w:rsidR="0030345B" w:rsidRDefault="0030345B" w:rsidP="0030345B">
      <w:pPr>
        <w:jc w:val="center"/>
        <w:rPr>
          <w:rFonts w:asciiTheme="majorHAnsi" w:eastAsiaTheme="majorEastAsia" w:hAnsi="Arial" w:cstheme="majorBidi"/>
          <w:color w:val="44546A" w:themeColor="text2"/>
          <w:sz w:val="64"/>
          <w:szCs w:val="64"/>
          <w14:shadow w14:blurRad="38100" w14:dist="38100" w14:dir="2700000" w14:sx="100000" w14:sy="100000" w14:kx="0" w14:ky="0" w14:algn="tl">
            <w14:srgbClr w14:val="000000"/>
          </w14:shadow>
        </w:rPr>
      </w:pPr>
    </w:p>
    <w:p w:rsidR="0030345B" w:rsidRPr="001056AB" w:rsidRDefault="0030345B" w:rsidP="001056AB">
      <w:pPr>
        <w:jc w:val="center"/>
        <w:rPr>
          <w:i/>
          <w:sz w:val="32"/>
          <w:szCs w:val="32"/>
        </w:rPr>
      </w:pPr>
      <w:r w:rsidRPr="001056AB">
        <w:rPr>
          <w:i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lastRenderedPageBreak/>
        <w:t>Основные показатели исполнения бюджета Новгородского муниципального района, млн. рублей</w:t>
      </w:r>
      <w:r w:rsidRPr="001056AB">
        <w:rPr>
          <w:i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br/>
      </w:r>
      <w:r w:rsidRPr="001056AB">
        <w:rPr>
          <w:i/>
          <w:sz w:val="32"/>
          <w:szCs w:val="32"/>
        </w:rPr>
        <w:t>Динамика за 2010-2015 годы</w:t>
      </w:r>
    </w:p>
    <w:p w:rsidR="0030345B" w:rsidRDefault="0030345B" w:rsidP="0030345B">
      <w:pPr>
        <w:tabs>
          <w:tab w:val="left" w:pos="6105"/>
        </w:tabs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ab/>
      </w:r>
      <w:r w:rsidRPr="0030345B">
        <w:rPr>
          <w:rFonts w:ascii="Times New Roman" w:hAnsi="Times New Roman" w:cs="Times New Roman"/>
          <w:sz w:val="32"/>
          <w:szCs w:val="32"/>
        </w:rPr>
        <w:drawing>
          <wp:inline distT="0" distB="0" distL="0" distR="0" wp14:anchorId="4277C520" wp14:editId="26A88318">
            <wp:extent cx="8629193" cy="4928146"/>
            <wp:effectExtent l="0" t="0" r="635" b="635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"/>
              </a:graphicData>
            </a:graphic>
          </wp:inline>
        </w:drawing>
      </w:r>
      <w:bookmarkStart w:id="0" w:name="_GoBack"/>
      <w:bookmarkEnd w:id="0"/>
    </w:p>
    <w:p w:rsidR="00092D87" w:rsidRDefault="00092D87" w:rsidP="00092D87">
      <w:pPr>
        <w:tabs>
          <w:tab w:val="left" w:pos="6105"/>
        </w:tabs>
        <w:jc w:val="center"/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</w:pP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lastRenderedPageBreak/>
        <w:t>Структура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налоговых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и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неналоговых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доходов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бюджета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Новгородского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муниципального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района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в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 2015 </w:t>
      </w:r>
      <w:r w:rsidRPr="00092D87">
        <w:rPr>
          <w:rFonts w:asciiTheme="majorHAnsi" w:eastAsiaTheme="majorEastAsia" w:hAnsi="Arial" w:cstheme="majorBidi"/>
          <w:bCs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году</w:t>
      </w:r>
    </w:p>
    <w:p w:rsidR="00092D87" w:rsidRDefault="00092D87" w:rsidP="00092D87">
      <w:pPr>
        <w:tabs>
          <w:tab w:val="left" w:pos="6105"/>
        </w:tabs>
        <w:jc w:val="center"/>
        <w:rPr>
          <w:rFonts w:ascii="Times New Roman" w:hAnsi="Times New Roman" w:cs="Times New Roman"/>
          <w:sz w:val="32"/>
          <w:szCs w:val="32"/>
        </w:rPr>
      </w:pPr>
      <w:r w:rsidRPr="00092D87">
        <w:drawing>
          <wp:inline distT="0" distB="0" distL="0" distR="0">
            <wp:extent cx="7839075" cy="4829175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9075" cy="482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2D87" w:rsidRDefault="00092D87" w:rsidP="00092D87">
      <w:pPr>
        <w:tabs>
          <w:tab w:val="left" w:pos="6105"/>
        </w:tabs>
        <w:jc w:val="center"/>
        <w:rPr>
          <w:rFonts w:ascii="Times New Roman" w:hAnsi="Times New Roman" w:cs="Times New Roman"/>
          <w:sz w:val="32"/>
          <w:szCs w:val="32"/>
        </w:rPr>
      </w:pPr>
    </w:p>
    <w:p w:rsidR="00092D87" w:rsidRDefault="00092D87" w:rsidP="00092D87">
      <w:pPr>
        <w:tabs>
          <w:tab w:val="left" w:pos="6105"/>
        </w:tabs>
        <w:jc w:val="center"/>
        <w:rPr>
          <w:rFonts w:asciiTheme="majorHAnsi" w:eastAsiaTheme="majorEastAsia" w:hAnsi="Garamond" w:cstheme="majorBidi"/>
          <w:b/>
          <w:bCs/>
          <w:sz w:val="32"/>
          <w:szCs w:val="32"/>
        </w:rPr>
      </w:pPr>
      <w:r w:rsidRPr="00092D87">
        <w:rPr>
          <w:rFonts w:asciiTheme="majorHAnsi" w:eastAsiaTheme="majorEastAsia" w:hAnsi="Garamond" w:cstheme="majorBidi"/>
          <w:b/>
          <w:bCs/>
          <w:sz w:val="32"/>
          <w:szCs w:val="32"/>
        </w:rPr>
        <w:lastRenderedPageBreak/>
        <w:t>Структура</w:t>
      </w:r>
      <w:r w:rsidRPr="00092D87">
        <w:rPr>
          <w:rFonts w:asciiTheme="majorHAnsi" w:eastAsiaTheme="majorEastAsia" w:hAnsi="Garamond" w:cstheme="majorBidi"/>
          <w:b/>
          <w:bCs/>
          <w:sz w:val="32"/>
          <w:szCs w:val="32"/>
        </w:rPr>
        <w:t xml:space="preserve"> </w:t>
      </w:r>
      <w:r w:rsidRPr="00092D87">
        <w:rPr>
          <w:rFonts w:asciiTheme="majorHAnsi" w:eastAsiaTheme="majorEastAsia" w:hAnsi="Garamond" w:cstheme="majorBidi"/>
          <w:b/>
          <w:bCs/>
          <w:sz w:val="32"/>
          <w:szCs w:val="32"/>
        </w:rPr>
        <w:t>расходов</w:t>
      </w:r>
      <w:r w:rsidRPr="00092D87">
        <w:rPr>
          <w:rFonts w:asciiTheme="majorHAnsi" w:eastAsiaTheme="majorEastAsia" w:hAnsi="Garamond" w:cstheme="majorBidi"/>
          <w:b/>
          <w:bCs/>
          <w:sz w:val="32"/>
          <w:szCs w:val="32"/>
        </w:rPr>
        <w:t xml:space="preserve"> </w:t>
      </w:r>
      <w:r w:rsidRPr="00092D87">
        <w:rPr>
          <w:rFonts w:asciiTheme="majorHAnsi" w:eastAsiaTheme="majorEastAsia" w:hAnsi="Garamond" w:cstheme="majorBidi"/>
          <w:b/>
          <w:bCs/>
          <w:sz w:val="32"/>
          <w:szCs w:val="32"/>
        </w:rPr>
        <w:t>бюджета</w:t>
      </w:r>
      <w:r w:rsidRPr="00092D87">
        <w:rPr>
          <w:rFonts w:asciiTheme="majorHAnsi" w:eastAsiaTheme="majorEastAsia" w:hAnsi="Garamond" w:cstheme="majorBidi"/>
          <w:b/>
          <w:bCs/>
          <w:sz w:val="32"/>
          <w:szCs w:val="32"/>
        </w:rPr>
        <w:t xml:space="preserve"> </w:t>
      </w:r>
      <w:r w:rsidRPr="00092D87">
        <w:rPr>
          <w:rFonts w:asciiTheme="majorHAnsi" w:eastAsiaTheme="majorEastAsia" w:hAnsi="Garamond" w:cstheme="majorBidi"/>
          <w:b/>
          <w:bCs/>
          <w:sz w:val="32"/>
          <w:szCs w:val="32"/>
        </w:rPr>
        <w:t>района</w:t>
      </w:r>
      <w:r w:rsidRPr="00092D87">
        <w:rPr>
          <w:rFonts w:asciiTheme="majorHAnsi" w:eastAsiaTheme="majorEastAsia" w:hAnsi="Garamond" w:cstheme="majorBidi"/>
          <w:b/>
          <w:bCs/>
          <w:sz w:val="32"/>
          <w:szCs w:val="32"/>
        </w:rPr>
        <w:t xml:space="preserve"> </w:t>
      </w:r>
      <w:r w:rsidRPr="00092D87">
        <w:rPr>
          <w:rFonts w:asciiTheme="majorHAnsi" w:eastAsiaTheme="majorEastAsia" w:hAnsi="Garamond" w:cstheme="majorBidi"/>
          <w:b/>
          <w:bCs/>
          <w:sz w:val="32"/>
          <w:szCs w:val="32"/>
        </w:rPr>
        <w:t>в</w:t>
      </w:r>
      <w:r w:rsidRPr="00092D87">
        <w:rPr>
          <w:rFonts w:asciiTheme="majorHAnsi" w:eastAsiaTheme="majorEastAsia" w:hAnsi="Garamond" w:cstheme="majorBidi"/>
          <w:b/>
          <w:bCs/>
          <w:sz w:val="32"/>
          <w:szCs w:val="32"/>
        </w:rPr>
        <w:t xml:space="preserve"> 2015 </w:t>
      </w:r>
      <w:r w:rsidRPr="00092D87">
        <w:rPr>
          <w:rFonts w:asciiTheme="majorHAnsi" w:eastAsiaTheme="majorEastAsia" w:hAnsi="Garamond" w:cstheme="majorBidi"/>
          <w:b/>
          <w:bCs/>
          <w:sz w:val="32"/>
          <w:szCs w:val="32"/>
        </w:rPr>
        <w:t>году</w:t>
      </w:r>
    </w:p>
    <w:p w:rsidR="00092D87" w:rsidRDefault="00092D87" w:rsidP="00092D87">
      <w:pPr>
        <w:tabs>
          <w:tab w:val="left" w:pos="6105"/>
        </w:tabs>
        <w:jc w:val="center"/>
        <w:rPr>
          <w:rFonts w:ascii="Times New Roman" w:hAnsi="Times New Roman" w:cs="Times New Roman"/>
          <w:sz w:val="32"/>
          <w:szCs w:val="32"/>
        </w:rPr>
      </w:pPr>
      <w:r w:rsidRPr="00092D87">
        <w:drawing>
          <wp:inline distT="0" distB="0" distL="0" distR="0">
            <wp:extent cx="8324850" cy="52482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4850" cy="524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CF3" w:rsidRPr="00422CF3" w:rsidRDefault="00422CF3" w:rsidP="00092D87">
      <w:pPr>
        <w:tabs>
          <w:tab w:val="left" w:pos="6105"/>
        </w:tabs>
        <w:jc w:val="center"/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</w:pPr>
      <w:r w:rsidRPr="00422CF3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lastRenderedPageBreak/>
        <w:t>Расходы</w:t>
      </w:r>
      <w:r w:rsidRPr="00422CF3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422CF3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бюджета</w:t>
      </w:r>
      <w:r w:rsidRPr="00422CF3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422CF3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Новгородского</w:t>
      </w:r>
      <w:r w:rsidRPr="00422CF3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422CF3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муниципального</w:t>
      </w:r>
      <w:r w:rsidRPr="00422CF3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422CF3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района</w:t>
      </w:r>
      <w:r w:rsidRPr="00422CF3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</w:p>
    <w:p w:rsidR="00422CF3" w:rsidRDefault="00422CF3" w:rsidP="00092D87">
      <w:pPr>
        <w:tabs>
          <w:tab w:val="left" w:pos="6105"/>
        </w:tabs>
        <w:jc w:val="center"/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</w:pPr>
      <w:r w:rsidRPr="00422CF3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на</w:t>
      </w:r>
      <w:r w:rsidRPr="00422CF3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 </w:t>
      </w:r>
      <w:r w:rsidRPr="00422CF3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Образование</w:t>
      </w:r>
      <w:r w:rsidR="001056AB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, </w:t>
      </w:r>
      <w:r w:rsidR="001056AB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тыс</w:t>
      </w:r>
      <w:r w:rsidR="001056AB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 xml:space="preserve">. </w:t>
      </w:r>
      <w:r w:rsidR="001056AB">
        <w:rPr>
          <w:rFonts w:asciiTheme="majorHAnsi" w:eastAsiaTheme="majorEastAsia" w:cstheme="majorBidi"/>
          <w:i/>
          <w:iCs/>
          <w:color w:val="000000" w:themeColor="text1"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рублей</w:t>
      </w:r>
    </w:p>
    <w:p w:rsidR="00422CF3" w:rsidRDefault="00422CF3" w:rsidP="00092D87">
      <w:pPr>
        <w:tabs>
          <w:tab w:val="left" w:pos="6105"/>
        </w:tabs>
        <w:jc w:val="center"/>
        <w:rPr>
          <w:rFonts w:ascii="Times New Roman" w:hAnsi="Times New Roman" w:cs="Times New Roman"/>
          <w:sz w:val="32"/>
          <w:szCs w:val="32"/>
        </w:rPr>
      </w:pPr>
      <w:r w:rsidRPr="00422CF3">
        <w:drawing>
          <wp:inline distT="0" distB="0" distL="0" distR="0">
            <wp:extent cx="4143375" cy="43434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21CC" w:rsidRDefault="00A621CC" w:rsidP="00092D87">
      <w:pPr>
        <w:tabs>
          <w:tab w:val="left" w:pos="6105"/>
        </w:tabs>
        <w:jc w:val="center"/>
        <w:rPr>
          <w:rFonts w:ascii="Times New Roman" w:hAnsi="Times New Roman" w:cs="Times New Roman"/>
          <w:sz w:val="32"/>
          <w:szCs w:val="32"/>
        </w:rPr>
      </w:pPr>
    </w:p>
    <w:p w:rsidR="00A621CC" w:rsidRDefault="00A621CC" w:rsidP="00092D87">
      <w:pPr>
        <w:tabs>
          <w:tab w:val="left" w:pos="6105"/>
        </w:tabs>
        <w:jc w:val="center"/>
        <w:rPr>
          <w:rFonts w:ascii="Times New Roman" w:hAnsi="Times New Roman" w:cs="Times New Roman"/>
          <w:sz w:val="32"/>
          <w:szCs w:val="32"/>
        </w:rPr>
      </w:pPr>
    </w:p>
    <w:p w:rsidR="00A621CC" w:rsidRDefault="00A621CC" w:rsidP="00092D87">
      <w:pPr>
        <w:tabs>
          <w:tab w:val="left" w:pos="6105"/>
        </w:tabs>
        <w:jc w:val="center"/>
        <w:rPr>
          <w:rFonts w:ascii="Times New Roman" w:hAnsi="Times New Roman" w:cs="Times New Roman"/>
          <w:sz w:val="32"/>
          <w:szCs w:val="32"/>
        </w:rPr>
      </w:pPr>
      <w:r w:rsidRPr="00A621CC">
        <w:lastRenderedPageBreak/>
        <w:drawing>
          <wp:inline distT="0" distB="0" distL="0" distR="0">
            <wp:extent cx="4419600" cy="43434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21CC" w:rsidRDefault="00A621CC" w:rsidP="00092D87">
      <w:pPr>
        <w:tabs>
          <w:tab w:val="left" w:pos="6105"/>
        </w:tabs>
        <w:jc w:val="center"/>
        <w:rPr>
          <w:rFonts w:ascii="Times New Roman" w:hAnsi="Times New Roman" w:cs="Times New Roman"/>
          <w:sz w:val="32"/>
          <w:szCs w:val="32"/>
        </w:rPr>
      </w:pPr>
    </w:p>
    <w:p w:rsidR="00A621CC" w:rsidRDefault="00A621CC" w:rsidP="00092D87">
      <w:pPr>
        <w:tabs>
          <w:tab w:val="left" w:pos="6105"/>
        </w:tabs>
        <w:jc w:val="center"/>
        <w:rPr>
          <w:rFonts w:ascii="Times New Roman" w:hAnsi="Times New Roman" w:cs="Times New Roman"/>
          <w:sz w:val="32"/>
          <w:szCs w:val="32"/>
        </w:rPr>
      </w:pPr>
    </w:p>
    <w:p w:rsidR="00A621CC" w:rsidRDefault="00A621CC" w:rsidP="00092D87">
      <w:pPr>
        <w:tabs>
          <w:tab w:val="left" w:pos="6105"/>
        </w:tabs>
        <w:jc w:val="center"/>
        <w:rPr>
          <w:rFonts w:ascii="Times New Roman" w:hAnsi="Times New Roman" w:cs="Times New Roman"/>
          <w:sz w:val="32"/>
          <w:szCs w:val="32"/>
        </w:rPr>
      </w:pPr>
    </w:p>
    <w:p w:rsidR="00A621CC" w:rsidRDefault="00A621CC" w:rsidP="00092D87">
      <w:pPr>
        <w:tabs>
          <w:tab w:val="left" w:pos="6105"/>
        </w:tabs>
        <w:jc w:val="center"/>
        <w:rPr>
          <w:rFonts w:ascii="Times New Roman" w:hAnsi="Times New Roman" w:cs="Times New Roman"/>
          <w:sz w:val="32"/>
          <w:szCs w:val="32"/>
        </w:rPr>
      </w:pPr>
    </w:p>
    <w:p w:rsidR="00A621CC" w:rsidRPr="00A621CC" w:rsidRDefault="00A621CC" w:rsidP="00092D87">
      <w:pPr>
        <w:tabs>
          <w:tab w:val="left" w:pos="6105"/>
        </w:tabs>
        <w:jc w:val="center"/>
        <w:rPr>
          <w:rFonts w:cs="Times New Roman"/>
          <w:b/>
          <w:i/>
          <w:sz w:val="32"/>
          <w:szCs w:val="32"/>
        </w:rPr>
      </w:pPr>
      <w:r w:rsidRPr="00A621CC">
        <w:rPr>
          <w:rFonts w:cs="Times New Roman"/>
          <w:b/>
          <w:i/>
          <w:sz w:val="32"/>
          <w:szCs w:val="32"/>
        </w:rPr>
        <w:lastRenderedPageBreak/>
        <w:t xml:space="preserve">Динамика расходов бюджета </w:t>
      </w:r>
      <w:r w:rsidR="001056AB">
        <w:rPr>
          <w:rFonts w:cs="Times New Roman"/>
          <w:b/>
          <w:i/>
          <w:sz w:val="32"/>
          <w:szCs w:val="32"/>
        </w:rPr>
        <w:t>Н</w:t>
      </w:r>
      <w:r w:rsidRPr="00A621CC">
        <w:rPr>
          <w:rFonts w:cs="Times New Roman"/>
          <w:b/>
          <w:i/>
          <w:sz w:val="32"/>
          <w:szCs w:val="32"/>
        </w:rPr>
        <w:t xml:space="preserve">овгородского муниципального района </w:t>
      </w:r>
    </w:p>
    <w:p w:rsidR="00A621CC" w:rsidRDefault="00A621CC" w:rsidP="00A621CC">
      <w:pPr>
        <w:tabs>
          <w:tab w:val="left" w:pos="6105"/>
        </w:tabs>
        <w:jc w:val="center"/>
        <w:rPr>
          <w:rFonts w:cs="Times New Roman"/>
          <w:b/>
          <w:i/>
          <w:sz w:val="32"/>
          <w:szCs w:val="32"/>
        </w:rPr>
      </w:pPr>
      <w:r w:rsidRPr="00A621CC">
        <w:rPr>
          <w:rFonts w:cs="Times New Roman"/>
          <w:b/>
          <w:i/>
          <w:sz w:val="32"/>
          <w:szCs w:val="32"/>
        </w:rPr>
        <w:t>на Культуру, тыс. рублей</w:t>
      </w:r>
      <w:r>
        <w:rPr>
          <w:noProof/>
          <w:lang w:eastAsia="ru-RU"/>
        </w:rPr>
        <w:drawing>
          <wp:inline distT="0" distB="0" distL="0" distR="0" wp14:anchorId="47DA154C" wp14:editId="22B5B374">
            <wp:extent cx="7912735" cy="5076825"/>
            <wp:effectExtent l="0" t="0" r="12065" b="9525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1056AB" w:rsidRDefault="001056AB" w:rsidP="00A621CC">
      <w:pPr>
        <w:tabs>
          <w:tab w:val="left" w:pos="6105"/>
        </w:tabs>
        <w:jc w:val="center"/>
        <w:rPr>
          <w:rFonts w:eastAsiaTheme="majorEastAsia" w:cstheme="majorBidi"/>
          <w:b/>
          <w:bCs/>
          <w:i/>
          <w:iCs/>
          <w:color w:val="000000" w:themeColor="text1"/>
          <w:sz w:val="32"/>
          <w:szCs w:val="32"/>
        </w:rPr>
      </w:pPr>
      <w:r w:rsidRPr="001056AB">
        <w:rPr>
          <w:rFonts w:eastAsiaTheme="majorEastAsia" w:cstheme="majorBidi"/>
          <w:b/>
          <w:bCs/>
          <w:i/>
          <w:iCs/>
          <w:color w:val="000000" w:themeColor="text1"/>
          <w:sz w:val="32"/>
          <w:szCs w:val="32"/>
        </w:rPr>
        <w:lastRenderedPageBreak/>
        <w:t xml:space="preserve">Расходы бюджета Новгородского муниципального района </w:t>
      </w:r>
    </w:p>
    <w:p w:rsidR="001056AB" w:rsidRDefault="001056AB" w:rsidP="00A621CC">
      <w:pPr>
        <w:tabs>
          <w:tab w:val="left" w:pos="6105"/>
        </w:tabs>
        <w:jc w:val="center"/>
        <w:rPr>
          <w:rFonts w:eastAsiaTheme="majorEastAsia" w:cstheme="majorBidi"/>
          <w:b/>
          <w:bCs/>
          <w:i/>
          <w:iCs/>
          <w:color w:val="000000" w:themeColor="text1"/>
          <w:sz w:val="32"/>
          <w:szCs w:val="32"/>
        </w:rPr>
      </w:pPr>
      <w:r w:rsidRPr="001056AB">
        <w:rPr>
          <w:rFonts w:eastAsiaTheme="majorEastAsia" w:cstheme="majorBidi"/>
          <w:b/>
          <w:bCs/>
          <w:i/>
          <w:iCs/>
          <w:color w:val="000000" w:themeColor="text1"/>
          <w:sz w:val="32"/>
          <w:szCs w:val="32"/>
        </w:rPr>
        <w:t xml:space="preserve">на </w:t>
      </w:r>
      <w:r>
        <w:rPr>
          <w:rFonts w:eastAsiaTheme="majorEastAsia" w:cstheme="majorBidi"/>
          <w:b/>
          <w:bCs/>
          <w:i/>
          <w:iCs/>
          <w:color w:val="000000" w:themeColor="text1"/>
          <w:sz w:val="32"/>
          <w:szCs w:val="32"/>
        </w:rPr>
        <w:t>с</w:t>
      </w:r>
      <w:r w:rsidRPr="001056AB">
        <w:rPr>
          <w:rFonts w:eastAsiaTheme="majorEastAsia" w:cstheme="majorBidi"/>
          <w:b/>
          <w:bCs/>
          <w:i/>
          <w:iCs/>
          <w:color w:val="000000" w:themeColor="text1"/>
          <w:sz w:val="32"/>
          <w:szCs w:val="32"/>
        </w:rPr>
        <w:t>оциальную политику в 2015 году</w:t>
      </w:r>
    </w:p>
    <w:p w:rsidR="001056AB" w:rsidRDefault="001056AB" w:rsidP="00A621CC">
      <w:pPr>
        <w:tabs>
          <w:tab w:val="left" w:pos="6105"/>
        </w:tabs>
        <w:jc w:val="center"/>
        <w:rPr>
          <w:rFonts w:cs="Times New Roman"/>
          <w:sz w:val="32"/>
          <w:szCs w:val="32"/>
        </w:rPr>
      </w:pPr>
      <w:r w:rsidRPr="001056AB">
        <w:drawing>
          <wp:inline distT="0" distB="0" distL="0" distR="0">
            <wp:extent cx="4219575" cy="481965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481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6AB" w:rsidRDefault="001056AB" w:rsidP="00A621CC">
      <w:pPr>
        <w:tabs>
          <w:tab w:val="left" w:pos="6105"/>
        </w:tabs>
        <w:jc w:val="center"/>
        <w:rPr>
          <w:rFonts w:cs="Times New Roman"/>
          <w:sz w:val="32"/>
          <w:szCs w:val="32"/>
        </w:rPr>
      </w:pPr>
    </w:p>
    <w:p w:rsidR="001056AB" w:rsidRDefault="001056AB" w:rsidP="00A621CC">
      <w:pPr>
        <w:tabs>
          <w:tab w:val="left" w:pos="6105"/>
        </w:tabs>
        <w:jc w:val="center"/>
        <w:rPr>
          <w:rFonts w:cs="Times New Roman"/>
          <w:sz w:val="32"/>
          <w:szCs w:val="32"/>
        </w:rPr>
      </w:pPr>
      <w:r w:rsidRPr="001056AB">
        <w:lastRenderedPageBreak/>
        <w:drawing>
          <wp:inline distT="0" distB="0" distL="0" distR="0">
            <wp:extent cx="4381500" cy="41338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413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6AB" w:rsidRDefault="001056AB" w:rsidP="00A621CC">
      <w:pPr>
        <w:tabs>
          <w:tab w:val="left" w:pos="6105"/>
        </w:tabs>
        <w:jc w:val="center"/>
        <w:rPr>
          <w:rFonts w:cs="Times New Roman"/>
          <w:sz w:val="32"/>
          <w:szCs w:val="32"/>
        </w:rPr>
      </w:pPr>
    </w:p>
    <w:p w:rsidR="001056AB" w:rsidRDefault="001056AB" w:rsidP="00A621CC">
      <w:pPr>
        <w:tabs>
          <w:tab w:val="left" w:pos="6105"/>
        </w:tabs>
        <w:jc w:val="center"/>
        <w:rPr>
          <w:rFonts w:cs="Times New Roman"/>
          <w:sz w:val="32"/>
          <w:szCs w:val="32"/>
        </w:rPr>
      </w:pPr>
    </w:p>
    <w:p w:rsidR="001056AB" w:rsidRDefault="001056AB" w:rsidP="00A621CC">
      <w:pPr>
        <w:tabs>
          <w:tab w:val="left" w:pos="6105"/>
        </w:tabs>
        <w:jc w:val="center"/>
        <w:rPr>
          <w:rFonts w:cs="Times New Roman"/>
          <w:sz w:val="32"/>
          <w:szCs w:val="32"/>
        </w:rPr>
      </w:pPr>
    </w:p>
    <w:p w:rsidR="001056AB" w:rsidRDefault="001056AB" w:rsidP="00A621CC">
      <w:pPr>
        <w:tabs>
          <w:tab w:val="left" w:pos="6105"/>
        </w:tabs>
        <w:jc w:val="center"/>
        <w:rPr>
          <w:rFonts w:cs="Times New Roman"/>
          <w:sz w:val="32"/>
          <w:szCs w:val="32"/>
        </w:rPr>
      </w:pPr>
    </w:p>
    <w:p w:rsidR="001056AB" w:rsidRDefault="001056AB" w:rsidP="00A621CC">
      <w:pPr>
        <w:tabs>
          <w:tab w:val="left" w:pos="6105"/>
        </w:tabs>
        <w:jc w:val="center"/>
        <w:rPr>
          <w:rFonts w:eastAsiaTheme="majorEastAsia" w:cstheme="majorBidi"/>
          <w:b/>
          <w:bCs/>
          <w:i/>
          <w:color w:val="000000" w:themeColor="text1"/>
          <w:sz w:val="32"/>
          <w:szCs w:val="32"/>
        </w:rPr>
      </w:pPr>
      <w:r w:rsidRPr="001056AB">
        <w:rPr>
          <w:rFonts w:eastAsiaTheme="majorEastAsia" w:cstheme="majorBidi"/>
          <w:b/>
          <w:bCs/>
          <w:i/>
          <w:color w:val="000000" w:themeColor="text1"/>
          <w:sz w:val="32"/>
          <w:szCs w:val="32"/>
        </w:rPr>
        <w:lastRenderedPageBreak/>
        <w:t>Расходы на дорожное хозяйство, тыс. рублей</w:t>
      </w:r>
    </w:p>
    <w:p w:rsidR="001056AB" w:rsidRDefault="001056AB" w:rsidP="00A621CC">
      <w:pPr>
        <w:tabs>
          <w:tab w:val="left" w:pos="6105"/>
        </w:tabs>
        <w:jc w:val="center"/>
        <w:rPr>
          <w:rFonts w:cs="Times New Roman"/>
          <w:i/>
          <w:sz w:val="32"/>
          <w:szCs w:val="32"/>
        </w:rPr>
      </w:pPr>
      <w:r w:rsidRPr="001056AB">
        <w:drawing>
          <wp:inline distT="0" distB="0" distL="0" distR="0">
            <wp:extent cx="4676775" cy="24765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6AB" w:rsidRDefault="001056AB" w:rsidP="00A621CC">
      <w:pPr>
        <w:tabs>
          <w:tab w:val="left" w:pos="6105"/>
        </w:tabs>
        <w:jc w:val="center"/>
        <w:rPr>
          <w:rFonts w:cs="Times New Roman"/>
          <w:i/>
          <w:sz w:val="32"/>
          <w:szCs w:val="32"/>
        </w:rPr>
      </w:pPr>
      <w:r w:rsidRPr="001056AB">
        <w:drawing>
          <wp:inline distT="0" distB="0" distL="0" distR="0">
            <wp:extent cx="4591050" cy="2407341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5697" cy="2415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6AB" w:rsidRDefault="001056AB" w:rsidP="00A621CC">
      <w:pPr>
        <w:tabs>
          <w:tab w:val="left" w:pos="6105"/>
        </w:tabs>
        <w:jc w:val="center"/>
        <w:rPr>
          <w:rFonts w:cs="Times New Roman"/>
          <w:i/>
          <w:sz w:val="32"/>
          <w:szCs w:val="32"/>
        </w:rPr>
      </w:pPr>
    </w:p>
    <w:p w:rsidR="001056AB" w:rsidRDefault="001056AB" w:rsidP="00A621CC">
      <w:pPr>
        <w:tabs>
          <w:tab w:val="left" w:pos="6105"/>
        </w:tabs>
        <w:jc w:val="center"/>
        <w:rPr>
          <w:rFonts w:eastAsiaTheme="majorEastAsia" w:cstheme="majorBidi"/>
          <w:b/>
          <w:bCs/>
          <w:i/>
          <w:iCs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</w:pPr>
      <w:r w:rsidRPr="001056AB">
        <w:rPr>
          <w:rFonts w:eastAsiaTheme="majorEastAsia" w:cstheme="majorBidi"/>
          <w:b/>
          <w:bCs/>
          <w:i/>
          <w:iCs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lastRenderedPageBreak/>
        <w:t>Дотации, субвенции и субсидии, предоставляемые</w:t>
      </w:r>
      <w:r w:rsidRPr="001056AB">
        <w:rPr>
          <w:rFonts w:eastAsiaTheme="majorEastAsia" w:cstheme="majorBidi"/>
          <w:b/>
          <w:bCs/>
          <w:i/>
          <w:iCs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br/>
        <w:t xml:space="preserve">бюджетам городских и сельских поселений </w:t>
      </w:r>
      <w:r w:rsidRPr="001056AB">
        <w:rPr>
          <w:rFonts w:eastAsiaTheme="majorEastAsia" w:cstheme="majorBidi"/>
          <w:b/>
          <w:bCs/>
          <w:i/>
          <w:iCs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br/>
        <w:t xml:space="preserve">из бюджета </w:t>
      </w:r>
      <w:r w:rsidRPr="001056AB">
        <w:rPr>
          <w:rFonts w:eastAsiaTheme="majorEastAsia" w:cstheme="majorBidi"/>
          <w:b/>
          <w:bCs/>
          <w:i/>
          <w:iCs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района (</w:t>
      </w:r>
      <w:r w:rsidRPr="001056AB">
        <w:rPr>
          <w:rFonts w:eastAsiaTheme="majorEastAsia" w:cstheme="majorBidi"/>
          <w:b/>
          <w:bCs/>
          <w:i/>
          <w:iCs/>
          <w:sz w:val="32"/>
          <w:szCs w:val="32"/>
          <w14:shadow w14:blurRad="38100" w14:dist="38100" w14:dir="2700000" w14:sx="100000" w14:sy="100000" w14:kx="0" w14:ky="0" w14:algn="tl">
            <w14:srgbClr w14:val="000000"/>
          </w14:shadow>
        </w:rPr>
        <w:t>тыс. рублей)</w:t>
      </w:r>
    </w:p>
    <w:p w:rsidR="001056AB" w:rsidRDefault="001056AB" w:rsidP="00A621CC">
      <w:pPr>
        <w:tabs>
          <w:tab w:val="left" w:pos="6105"/>
        </w:tabs>
        <w:jc w:val="center"/>
        <w:rPr>
          <w:rFonts w:cs="Times New Roman"/>
          <w:i/>
          <w:sz w:val="32"/>
          <w:szCs w:val="32"/>
        </w:rPr>
      </w:pPr>
      <w:r w:rsidRPr="001056AB">
        <w:drawing>
          <wp:inline distT="0" distB="0" distL="0" distR="0">
            <wp:extent cx="4276725" cy="3924300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6AB" w:rsidRDefault="001056AB" w:rsidP="00A621CC">
      <w:pPr>
        <w:tabs>
          <w:tab w:val="left" w:pos="6105"/>
        </w:tabs>
        <w:jc w:val="center"/>
        <w:rPr>
          <w:rFonts w:cs="Times New Roman"/>
          <w:i/>
          <w:sz w:val="32"/>
          <w:szCs w:val="32"/>
        </w:rPr>
      </w:pPr>
    </w:p>
    <w:p w:rsidR="001056AB" w:rsidRDefault="001056AB" w:rsidP="00A621CC">
      <w:pPr>
        <w:tabs>
          <w:tab w:val="left" w:pos="6105"/>
        </w:tabs>
        <w:jc w:val="center"/>
        <w:rPr>
          <w:rFonts w:cs="Times New Roman"/>
          <w:i/>
          <w:sz w:val="32"/>
          <w:szCs w:val="32"/>
        </w:rPr>
      </w:pPr>
    </w:p>
    <w:p w:rsidR="001056AB" w:rsidRPr="001056AB" w:rsidRDefault="001056AB" w:rsidP="00A621CC">
      <w:pPr>
        <w:tabs>
          <w:tab w:val="left" w:pos="6105"/>
        </w:tabs>
        <w:jc w:val="center"/>
        <w:rPr>
          <w:rFonts w:cs="Times New Roman"/>
          <w:i/>
          <w:sz w:val="32"/>
          <w:szCs w:val="32"/>
        </w:rPr>
      </w:pPr>
      <w:r w:rsidRPr="001056AB">
        <w:lastRenderedPageBreak/>
        <w:drawing>
          <wp:inline distT="0" distB="0" distL="0" distR="0">
            <wp:extent cx="3752850" cy="387667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6AB" w:rsidRPr="001056AB" w:rsidRDefault="001056AB" w:rsidP="00A621CC">
      <w:pPr>
        <w:tabs>
          <w:tab w:val="left" w:pos="6105"/>
        </w:tabs>
        <w:jc w:val="center"/>
        <w:rPr>
          <w:rFonts w:cs="Times New Roman"/>
          <w:sz w:val="32"/>
          <w:szCs w:val="32"/>
        </w:rPr>
      </w:pPr>
    </w:p>
    <w:sectPr w:rsidR="001056AB" w:rsidRPr="001056AB" w:rsidSect="0030345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345B"/>
    <w:rsid w:val="00063E98"/>
    <w:rsid w:val="00092D87"/>
    <w:rsid w:val="001056AB"/>
    <w:rsid w:val="0030345B"/>
    <w:rsid w:val="00422CF3"/>
    <w:rsid w:val="00A62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402CE9-CCA1-4A49-ABAA-AD93E3A45D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034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1830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8.emf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12" Type="http://schemas.openxmlformats.org/officeDocument/2006/relationships/image" Target="media/image7.emf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6.emf"/><Relationship Id="rId5" Type="http://schemas.openxmlformats.org/officeDocument/2006/relationships/image" Target="media/image1.emf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4" Type="http://schemas.openxmlformats.org/officeDocument/2006/relationships/chart" Target="charts/chart1.xml"/><Relationship Id="rId9" Type="http://schemas.openxmlformats.org/officeDocument/2006/relationships/chart" Target="charts/chart2.xml"/><Relationship Id="rId14" Type="http://schemas.openxmlformats.org/officeDocument/2006/relationships/image" Target="media/image9.emf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../embeddings/oleObject1.bin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../embeddings/oleObject2.bin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dk2" tx1="lt1" bg2="dk1" tx2="lt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17748433561404281"/>
          <c:y val="9.8370927318295734E-2"/>
          <c:w val="0.76548651157466641"/>
          <c:h val="0.84586543800795755"/>
        </c:manualLayout>
      </c:layout>
      <c:lineChart>
        <c:grouping val="standard"/>
        <c:varyColors val="0"/>
        <c:ser>
          <c:idx val="0"/>
          <c:order val="0"/>
          <c:tx>
            <c:strRef>
              <c:f>Лист1!$B$2</c:f>
              <c:strCache>
                <c:ptCount val="1"/>
                <c:pt idx="0">
                  <c:v>Доходы</c:v>
                </c:pt>
              </c:strCache>
            </c:strRef>
          </c:tx>
          <c:spPr>
            <a:ln w="38100">
              <a:solidFill>
                <a:srgbClr val="000080"/>
              </a:solidFill>
              <a:prstDash val="solid"/>
            </a:ln>
          </c:spPr>
          <c:marker>
            <c:symbol val="circle"/>
            <c:size val="7"/>
            <c:spPr>
              <a:solidFill>
                <a:srgbClr val="000080"/>
              </a:solidFill>
              <a:ln>
                <a:solidFill>
                  <a:srgbClr val="000080"/>
                </a:solidFill>
                <a:prstDash val="solid"/>
              </a:ln>
            </c:spPr>
          </c:marker>
          <c:dLbls>
            <c:dLbl>
              <c:idx val="0"/>
              <c:layout>
                <c:manualLayout>
                  <c:x val="-9.018160802698523E-3"/>
                  <c:y val="3.817949497452754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6.6451327747939493E-2"/>
                  <c:y val="-6.313638042696680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1.4004335605807567E-2"/>
                  <c:y val="4.940403605786131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4.0319893354635906E-3"/>
                  <c:y val="3.860915161496895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1.6220424808582684E-2"/>
                  <c:y val="3.718586878742428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-1.2311518835158504E-2"/>
                  <c:y val="-4.747748950619572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675" b="1" i="0" u="none" strike="noStrike" baseline="0">
                    <a:solidFill>
                      <a:srgbClr val="00008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Лист1!$A$3:$A$8</c:f>
              <c:numCache>
                <c:formatCode>General</c:formatCod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numCache>
            </c:numRef>
          </c:cat>
          <c:val>
            <c:numRef>
              <c:f>Лист1!$B$3:$B$8</c:f>
              <c:numCache>
                <c:formatCode>#,##0.0</c:formatCode>
                <c:ptCount val="6"/>
                <c:pt idx="0">
                  <c:v>1021.7</c:v>
                </c:pt>
                <c:pt idx="1">
                  <c:v>1063</c:v>
                </c:pt>
                <c:pt idx="2">
                  <c:v>1104.9000000000001</c:v>
                </c:pt>
                <c:pt idx="3">
                  <c:v>1182.0999999999999</c:v>
                </c:pt>
                <c:pt idx="4">
                  <c:v>1199.4000000000001</c:v>
                </c:pt>
                <c:pt idx="5" formatCode="General">
                  <c:v>1004.6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Лист1!$C$2</c:f>
              <c:strCache>
                <c:ptCount val="1"/>
                <c:pt idx="0">
                  <c:v>Расходы</c:v>
                </c:pt>
              </c:strCache>
            </c:strRef>
          </c:tx>
          <c:spPr>
            <a:ln w="38100">
              <a:solidFill>
                <a:srgbClr val="FF00FF"/>
              </a:solidFill>
              <a:prstDash val="solid"/>
            </a:ln>
          </c:spPr>
          <c:marker>
            <c:symbol val="circle"/>
            <c:size val="7"/>
            <c:spPr>
              <a:solidFill>
                <a:srgbClr val="FF00FF"/>
              </a:solidFill>
              <a:ln>
                <a:solidFill>
                  <a:srgbClr val="FF00FF"/>
                </a:solidFill>
                <a:prstDash val="solid"/>
              </a:ln>
            </c:spPr>
          </c:marker>
          <c:dLbls>
            <c:dLbl>
              <c:idx val="0"/>
              <c:layout>
                <c:manualLayout>
                  <c:x val="-5.8879701608710484E-2"/>
                  <c:y val="-6.370036299481868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5.5094445405915494E-3"/>
                  <c:y val="2.426963945259368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6940788048055642E-3"/>
                  <c:y val="1.742226935131115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6.4973872542811534E-2"/>
                  <c:y val="-6.198184912729676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5.6848346946814649E-2"/>
                  <c:y val="-5.8598239718156468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-6.2761450976710001E-2"/>
                  <c:y val="2.577034040793434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 w="25400">
                <a:noFill/>
              </a:ln>
            </c:spPr>
            <c:txPr>
              <a:bodyPr/>
              <a:lstStyle/>
              <a:p>
                <a:pPr>
                  <a:defRPr sz="1675" b="1" i="0" u="none" strike="noStrike" baseline="0">
                    <a:solidFill>
                      <a:srgbClr val="FF00FF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Лист1!$A$3:$A$8</c:f>
              <c:numCache>
                <c:formatCode>General</c:formatCod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numCache>
            </c:numRef>
          </c:cat>
          <c:val>
            <c:numRef>
              <c:f>Лист1!$C$3:$C$8</c:f>
              <c:numCache>
                <c:formatCode>#,##0.0</c:formatCode>
                <c:ptCount val="6"/>
                <c:pt idx="0">
                  <c:v>1051.0999999999999</c:v>
                </c:pt>
                <c:pt idx="1">
                  <c:v>1052.5</c:v>
                </c:pt>
                <c:pt idx="2">
                  <c:v>1199</c:v>
                </c:pt>
                <c:pt idx="3">
                  <c:v>1209.7</c:v>
                </c:pt>
                <c:pt idx="4">
                  <c:v>1232.0999999999999</c:v>
                </c:pt>
                <c:pt idx="5" formatCode="General">
                  <c:v>998.7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92974848"/>
        <c:axId val="294790944"/>
      </c:lineChart>
      <c:catAx>
        <c:axId val="292974848"/>
        <c:scaling>
          <c:orientation val="minMax"/>
        </c:scaling>
        <c:delete val="0"/>
        <c:axPos val="b"/>
        <c:numFmt formatCode="General" sourceLinked="1"/>
        <c:majorTickMark val="cross"/>
        <c:minorTickMark val="cross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294790944"/>
        <c:crosses val="autoZero"/>
        <c:auto val="1"/>
        <c:lblAlgn val="ctr"/>
        <c:lblOffset val="100"/>
        <c:tickLblSkip val="1"/>
        <c:tickMarkSkip val="2009"/>
        <c:noMultiLvlLbl val="0"/>
      </c:catAx>
      <c:valAx>
        <c:axId val="294790944"/>
        <c:scaling>
          <c:orientation val="minMax"/>
          <c:min val="900"/>
        </c:scaling>
        <c:delete val="0"/>
        <c:axPos val="l"/>
        <c:numFmt formatCode="#,##0.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292974848"/>
        <c:crosses val="autoZero"/>
        <c:crossBetween val="between"/>
        <c:majorUnit val="50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52039459840084146"/>
          <c:y val="0.68845383233370117"/>
          <c:w val="0.14077240601613503"/>
          <c:h val="0.10040246372570943"/>
        </c:manualLayout>
      </c:layout>
      <c:overlay val="0"/>
      <c:spPr>
        <a:solidFill>
          <a:srgbClr val="FFFFFF"/>
        </a:solidFill>
        <a:ln w="25400">
          <a:noFill/>
        </a:ln>
      </c:spPr>
      <c:txPr>
        <a:bodyPr/>
        <a:lstStyle/>
        <a:p>
          <a:pPr>
            <a:defRPr sz="1000" b="0" i="0" u="none" strike="noStrike" baseline="0">
              <a:solidFill>
                <a:srgbClr val="000000"/>
              </a:solidFill>
              <a:latin typeface="Arial Cyr"/>
              <a:ea typeface="Arial Cyr"/>
              <a:cs typeface="Arial Cyr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200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"/>
          <c:y val="9.5020074952430603E-2"/>
          <c:w val="0.96472239148347572"/>
          <c:h val="0.90497992504756941"/>
        </c:manualLayout>
      </c:layout>
      <c:barChart>
        <c:barDir val="col"/>
        <c:grouping val="clustered"/>
        <c:varyColors val="1"/>
        <c:ser>
          <c:idx val="0"/>
          <c:order val="0"/>
          <c:tx>
            <c:strRef>
              <c:f>'[Диаграмма в KF_otchetBudjetGrazhdan_2015-1 (только чтение) (Режим совместимости)]2014'!$A$30</c:f>
              <c:strCache>
                <c:ptCount val="1"/>
                <c:pt idx="0">
                  <c:v>Бюджет района</c:v>
                </c:pt>
              </c:strCache>
            </c:strRef>
          </c:tx>
          <c:invertIfNegative val="1"/>
          <c:dPt>
            <c:idx val="0"/>
            <c:invertIfNegative val="1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</c:dPt>
          <c:dPt>
            <c:idx val="1"/>
            <c:invertIfNegative val="1"/>
            <c:bubble3D val="0"/>
            <c:spPr>
              <a:solidFill>
                <a:schemeClr val="accent2"/>
              </a:solidFill>
              <a:ln>
                <a:noFill/>
              </a:ln>
              <a:effectLst/>
            </c:spPr>
          </c:dPt>
          <c:dPt>
            <c:idx val="2"/>
            <c:invertIfNegative val="1"/>
            <c:bubble3D val="0"/>
            <c:spPr>
              <a:solidFill>
                <a:schemeClr val="accent3"/>
              </a:solidFill>
              <a:ln>
                <a:solidFill>
                  <a:schemeClr val="tx2"/>
                </a:solidFill>
              </a:ln>
              <a:effectLst/>
            </c:spPr>
          </c:dPt>
          <c:dLbls>
            <c:dLbl>
              <c:idx val="0"/>
              <c:layout>
                <c:manualLayout>
                  <c:x val="-1.1224693618894256E-2"/>
                  <c:y val="1.3432207350564981E-2"/>
                </c:manualLayout>
              </c:layout>
              <c:tx>
                <c:rich>
                  <a:bodyPr rot="0" spcFirstLastPara="1" vertOverflow="ellipsis" vert="horz" wrap="square" anchor="ctr" anchorCtr="1"/>
                  <a:lstStyle/>
                  <a:p>
                    <a:pPr>
                      <a:defRPr sz="1596" b="0" i="0" u="none" strike="noStrike" kern="1200" baseline="0">
                        <a:solidFill>
                          <a:schemeClr val="tx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fld id="{0922F763-0889-494B-90CF-538536AF46BA}" type="SERIESNAME">
                      <a:rPr lang="ru-RU">
                        <a:solidFill>
                          <a:schemeClr val="accent4">
                            <a:lumMod val="10000"/>
                          </a:schemeClr>
                        </a:solidFill>
                      </a:rPr>
                      <a:pPr>
                        <a:defRPr sz="1596"/>
                      </a:pPr>
                      <a:t>[ИМЯ РЯДА]</a:t>
                    </a:fld>
                    <a:r>
                      <a:rPr lang="ru-RU" baseline="0" dirty="0">
                        <a:solidFill>
                          <a:schemeClr val="accent4">
                            <a:lumMod val="10000"/>
                          </a:schemeClr>
                        </a:solidFill>
                      </a:rPr>
                      <a:t>; </a:t>
                    </a:r>
                    <a:fld id="{F9898855-81DD-4542-96D8-77A90D0A1109}" type="CATEGORYNAME">
                      <a:rPr lang="ru-RU" baseline="0">
                        <a:solidFill>
                          <a:schemeClr val="accent4">
                            <a:lumMod val="10000"/>
                          </a:schemeClr>
                        </a:solidFill>
                      </a:rPr>
                      <a:pPr>
                        <a:defRPr sz="1596"/>
                      </a:pPr>
                      <a:t>[ИМЯ КАТЕГОРИИ]</a:t>
                    </a:fld>
                    <a:r>
                      <a:rPr lang="ru-RU" baseline="0" dirty="0">
                        <a:solidFill>
                          <a:schemeClr val="accent4">
                            <a:lumMod val="10000"/>
                          </a:schemeClr>
                        </a:solidFill>
                      </a:rPr>
                      <a:t>; </a:t>
                    </a:r>
                    <a:fld id="{83B479FB-E273-4F2E-882E-473CD30CADDA}" type="VALUE">
                      <a:rPr lang="ru-RU" baseline="0">
                        <a:solidFill>
                          <a:schemeClr val="accent4">
                            <a:lumMod val="10000"/>
                          </a:schemeClr>
                        </a:solidFill>
                      </a:rPr>
                      <a:pPr>
                        <a:defRPr sz="1596"/>
                      </a:pPr>
                      <a:t>[ЗНАЧЕНИЕ]</a:t>
                    </a:fld>
                    <a:endParaRPr lang="ru-RU" baseline="0" dirty="0">
                      <a:solidFill>
                        <a:schemeClr val="accent4">
                          <a:lumMod val="10000"/>
                        </a:schemeClr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596" b="0" i="0" u="none" strike="noStrike" kern="1200" baseline="0">
                      <a:solidFill>
                        <a:schemeClr val="tx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  <c:dLblPos val="outEnd"/>
              <c:showLegendKey val="1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1"/>
              <c:layout>
                <c:manualLayout>
                  <c:x val="-6.4141106393681441E-3"/>
                  <c:y val="3.6178631995477627E-2"/>
                </c:manualLayout>
              </c:layout>
              <c:tx>
                <c:rich>
                  <a:bodyPr/>
                  <a:lstStyle/>
                  <a:p>
                    <a:fld id="{218A2F23-6CBD-42B9-A224-CC4AA821FE48}" type="SERIESNAME">
                      <a:rPr lang="ru-RU">
                        <a:solidFill>
                          <a:schemeClr val="accent4">
                            <a:lumMod val="10000"/>
                          </a:schemeClr>
                        </a:solidFill>
                      </a:rPr>
                      <a:pPr/>
                      <a:t>[ИМЯ РЯДА]</a:t>
                    </a:fld>
                    <a:r>
                      <a:rPr lang="ru-RU" baseline="0" dirty="0">
                        <a:solidFill>
                          <a:schemeClr val="accent4">
                            <a:lumMod val="10000"/>
                          </a:schemeClr>
                        </a:solidFill>
                      </a:rPr>
                      <a:t>; </a:t>
                    </a:r>
                    <a:fld id="{3666E4CA-9AEC-43F2-9CB4-74F5C2125D95}" type="CATEGORYNAME">
                      <a:rPr lang="ru-RU" baseline="0">
                        <a:solidFill>
                          <a:schemeClr val="accent4">
                            <a:lumMod val="10000"/>
                          </a:schemeClr>
                        </a:solidFill>
                      </a:rPr>
                      <a:pPr/>
                      <a:t>[ИМЯ КАТЕГОРИИ]</a:t>
                    </a:fld>
                    <a:r>
                      <a:rPr lang="ru-RU" baseline="0" dirty="0">
                        <a:solidFill>
                          <a:schemeClr val="accent4">
                            <a:lumMod val="10000"/>
                          </a:schemeClr>
                        </a:solidFill>
                      </a:rPr>
                      <a:t>; </a:t>
                    </a:r>
                    <a:fld id="{2FEE06C6-5430-40BF-8117-107D3B422371}" type="VALUE">
                      <a:rPr lang="ru-RU" baseline="0">
                        <a:solidFill>
                          <a:schemeClr val="accent4">
                            <a:lumMod val="10000"/>
                          </a:schemeClr>
                        </a:solidFill>
                      </a:rPr>
                      <a:pPr/>
                      <a:t>[ЗНАЧЕНИЕ]</a:t>
                    </a:fld>
                    <a:endParaRPr lang="ru-RU" baseline="0" dirty="0">
                      <a:solidFill>
                        <a:schemeClr val="accent4">
                          <a:lumMod val="10000"/>
                        </a:schemeClr>
                      </a:solidFill>
                    </a:endParaRPr>
                  </a:p>
                </c:rich>
              </c:tx>
              <c:dLblPos val="outEnd"/>
              <c:showLegendKey val="1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2"/>
              <c:layout>
                <c:manualLayout>
                  <c:x val="-9.6211659590522206E-3"/>
                  <c:y val="9.2707744488411514E-2"/>
                </c:manualLayout>
              </c:layout>
              <c:tx>
                <c:rich>
                  <a:bodyPr/>
                  <a:lstStyle/>
                  <a:p>
                    <a:fld id="{9A88C2A8-6459-4DE4-AB3E-12D1099ED120}" type="SERIESNAME">
                      <a:rPr lang="ru-RU">
                        <a:solidFill>
                          <a:schemeClr val="accent4">
                            <a:lumMod val="10000"/>
                          </a:schemeClr>
                        </a:solidFill>
                      </a:rPr>
                      <a:pPr/>
                      <a:t>[ИМЯ РЯДА]</a:t>
                    </a:fld>
                    <a:r>
                      <a:rPr lang="ru-RU" baseline="0" dirty="0">
                        <a:solidFill>
                          <a:schemeClr val="accent4">
                            <a:lumMod val="10000"/>
                          </a:schemeClr>
                        </a:solidFill>
                      </a:rPr>
                      <a:t>; </a:t>
                    </a:r>
                    <a:fld id="{AF6CA5BD-3047-4209-9D34-9C7A1C7A5D71}" type="CATEGORYNAME">
                      <a:rPr lang="ru-RU" baseline="0">
                        <a:solidFill>
                          <a:schemeClr val="accent4">
                            <a:lumMod val="10000"/>
                          </a:schemeClr>
                        </a:solidFill>
                      </a:rPr>
                      <a:pPr/>
                      <a:t>[ИМЯ КАТЕГОРИИ]</a:t>
                    </a:fld>
                    <a:r>
                      <a:rPr lang="ru-RU" baseline="0" dirty="0">
                        <a:solidFill>
                          <a:schemeClr val="accent4">
                            <a:lumMod val="10000"/>
                          </a:schemeClr>
                        </a:solidFill>
                      </a:rPr>
                      <a:t>; </a:t>
                    </a:r>
                    <a:fld id="{2ECD8B09-836E-4961-BC9C-4979058193D4}" type="VALUE">
                      <a:rPr lang="ru-RU" baseline="0">
                        <a:solidFill>
                          <a:schemeClr val="accent4">
                            <a:lumMod val="10000"/>
                          </a:schemeClr>
                        </a:solidFill>
                      </a:rPr>
                      <a:pPr/>
                      <a:t>[ЗНАЧЕНИЕ]</a:t>
                    </a:fld>
                    <a:endParaRPr lang="ru-RU" baseline="0" dirty="0">
                      <a:solidFill>
                        <a:schemeClr val="accent4">
                          <a:lumMod val="10000"/>
                        </a:schemeClr>
                      </a:solidFill>
                    </a:endParaRPr>
                  </a:p>
                </c:rich>
              </c:tx>
              <c:dLblPos val="outEnd"/>
              <c:showLegendKey val="1"/>
              <c:showVal val="0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spPr>
              <a:noFill/>
              <a:ln w="25342"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596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1"/>
            <c:showVal val="1"/>
            <c:showCatName val="1"/>
            <c:showSerName val="1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'[Диаграмма в KF_otchetBudjetGrazhdan_2015-1 (только чтение) (Режим совместимости)]2014'!$B$29:$D$29</c:f>
              <c:strCache>
                <c:ptCount val="3"/>
                <c:pt idx="0">
                  <c:v>2013 год</c:v>
                </c:pt>
                <c:pt idx="1">
                  <c:v>2014 год</c:v>
                </c:pt>
                <c:pt idx="2">
                  <c:v>2015 год</c:v>
                </c:pt>
              </c:strCache>
            </c:strRef>
          </c:cat>
          <c:val>
            <c:numRef>
              <c:f>'[Диаграмма в KF_otchetBudjetGrazhdan_2015-1 (только чтение) (Режим совместимости)]2014'!$B$30:$D$30</c:f>
              <c:numCache>
                <c:formatCode>General</c:formatCode>
                <c:ptCount val="3"/>
                <c:pt idx="0">
                  <c:v>40140.300000000003</c:v>
                </c:pt>
                <c:pt idx="1">
                  <c:v>43999.199999999997</c:v>
                </c:pt>
                <c:pt idx="2">
                  <c:v>47135.1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94792512"/>
        <c:axId val="294792904"/>
      </c:barChart>
      <c:catAx>
        <c:axId val="29479251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294792904"/>
        <c:crosses val="autoZero"/>
        <c:auto val="1"/>
        <c:lblAlgn val="ctr"/>
        <c:lblOffset val="100"/>
        <c:noMultiLvlLbl val="1"/>
      </c:catAx>
      <c:valAx>
        <c:axId val="294792904"/>
        <c:scaling>
          <c:orientation val="minMax"/>
        </c:scaling>
        <c:delete val="1"/>
        <c:axPos val="l"/>
        <c:majorGridlines>
          <c:spPr>
            <a:ln w="6350" cap="flat" cmpd="sng" algn="ctr">
              <a:solidFill>
                <a:schemeClr val="tx1">
                  <a:tint val="75000"/>
                </a:schemeClr>
              </a:solidFill>
              <a:prstDash val="solid"/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extTo"/>
        <c:crossAx val="294792512"/>
        <c:crosses val="autoZero"/>
        <c:crossBetween val="between"/>
      </c:valAx>
      <c:spPr>
        <a:noFill/>
        <a:ln w="25400">
          <a:noFill/>
        </a:ln>
        <a:effectLst/>
      </c:spPr>
    </c:plotArea>
    <c:legend>
      <c:legendPos val="r"/>
      <c:layout>
        <c:manualLayout>
          <c:xMode val="edge"/>
          <c:yMode val="edge"/>
          <c:x val="0.78260978195033315"/>
          <c:y val="0.53023319542684277"/>
          <c:w val="0.20289887441954368"/>
          <c:h val="0.28837225855242676"/>
        </c:manualLayout>
      </c:layout>
      <c:overlay val="1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796" b="0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1"/>
  </c:chart>
  <c:spPr>
    <a:solidFill>
      <a:schemeClr val="bg1"/>
    </a:solidFill>
    <a:ln w="6350" cap="flat" cmpd="sng" algn="ctr">
      <a:solidFill>
        <a:schemeClr val="tx1">
          <a:tint val="75000"/>
        </a:schemeClr>
      </a:solidFill>
      <a:prstDash val="solid"/>
      <a:round/>
    </a:ln>
    <a:effectLst/>
  </c:spPr>
  <c:txPr>
    <a:bodyPr/>
    <a:lstStyle/>
    <a:p>
      <a:pPr>
        <a:defRPr sz="1796"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102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>
      <a:schemeClr val="dk1">
        <a:tint val="95000"/>
      </a:schem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>
      <a:schemeClr val="dk1">
        <a:tint val="5000"/>
      </a:schem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Воздушный поток">
    <a:dk1>
      <a:sysClr val="windowText" lastClr="000000"/>
    </a:dk1>
    <a:lt1>
      <a:sysClr val="window" lastClr="FFFFFF"/>
    </a:lt1>
    <a:dk2>
      <a:srgbClr val="212745"/>
    </a:dk2>
    <a:lt2>
      <a:srgbClr val="B4DCFA"/>
    </a:lt2>
    <a:accent1>
      <a:srgbClr val="4E67C8"/>
    </a:accent1>
    <a:accent2>
      <a:srgbClr val="5ECCF3"/>
    </a:accent2>
    <a:accent3>
      <a:srgbClr val="A7EA52"/>
    </a:accent3>
    <a:accent4>
      <a:srgbClr val="5DCEAF"/>
    </a:accent4>
    <a:accent5>
      <a:srgbClr val="FF8021"/>
    </a:accent5>
    <a:accent6>
      <a:srgbClr val="F14124"/>
    </a:accent6>
    <a:hlink>
      <a:srgbClr val="56C7AA"/>
    </a:hlink>
    <a:folHlink>
      <a:srgbClr val="59A8D1"/>
    </a:folHlink>
  </a:clrScheme>
  <a:fontScheme name="Круги">
    <a:majorFont>
      <a:latin typeface="Arial"/>
      <a:ea typeface=""/>
      <a:cs typeface=""/>
    </a:majorFont>
    <a:minorFont>
      <a:latin typeface="Arial"/>
      <a:ea typeface=""/>
      <a:cs typeface="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12</Pages>
  <Words>122</Words>
  <Characters>701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Михайлова Светлана Васильевна</dc:creator>
  <cp:keywords/>
  <dc:description/>
  <cp:lastModifiedBy>Михайлова Светлана Васильевна</cp:lastModifiedBy>
  <cp:revision>3</cp:revision>
  <dcterms:created xsi:type="dcterms:W3CDTF">2016-09-06T08:50:00Z</dcterms:created>
  <dcterms:modified xsi:type="dcterms:W3CDTF">2016-09-06T09:48:00Z</dcterms:modified>
</cp:coreProperties>
</file>