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58" w:rsidRDefault="00141858" w:rsidP="00141858">
      <w:pPr>
        <w:pStyle w:val="a3"/>
      </w:pPr>
      <w:r>
        <w:rPr>
          <w:rStyle w:val="a5"/>
        </w:rPr>
        <w:t>Проект</w:t>
      </w:r>
    </w:p>
    <w:p w:rsidR="00141858" w:rsidRDefault="00141858" w:rsidP="00141858">
      <w:pPr>
        <w:pStyle w:val="a3"/>
      </w:pPr>
      <w:r>
        <w:rPr>
          <w:rStyle w:val="a5"/>
        </w:rPr>
        <w:t>Российская Федерация</w:t>
      </w:r>
    </w:p>
    <w:p w:rsidR="00141858" w:rsidRDefault="00141858" w:rsidP="00141858">
      <w:pPr>
        <w:pStyle w:val="a3"/>
      </w:pPr>
      <w:r>
        <w:rPr>
          <w:rStyle w:val="a5"/>
        </w:rPr>
        <w:t xml:space="preserve">Новгородская область </w:t>
      </w:r>
    </w:p>
    <w:p w:rsidR="00141858" w:rsidRDefault="00141858" w:rsidP="00141858">
      <w:pPr>
        <w:pStyle w:val="3"/>
      </w:pPr>
      <w:r>
        <w:t>ДУМА НОВГОРОДСКОГО МУНИЦИПАЛЬНОГО РАЙОНА</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2"/>
      </w:pPr>
      <w:r>
        <w:t>Р Е Ш Е Н И Е</w:t>
      </w:r>
    </w:p>
    <w:p w:rsidR="00141858" w:rsidRDefault="00141858" w:rsidP="00141858">
      <w:pPr>
        <w:pStyle w:val="a3"/>
      </w:pPr>
      <w:r>
        <w:t> </w:t>
      </w:r>
    </w:p>
    <w:p w:rsidR="00141858" w:rsidRDefault="00141858" w:rsidP="00141858">
      <w:pPr>
        <w:pStyle w:val="a3"/>
      </w:pPr>
      <w:r>
        <w:t>от __.__.2022  № ___</w:t>
      </w:r>
    </w:p>
    <w:p w:rsidR="00141858" w:rsidRDefault="00141858" w:rsidP="00141858">
      <w:pPr>
        <w:pStyle w:val="1"/>
      </w:pPr>
      <w:r>
        <w:t>Великий Новгород</w:t>
      </w:r>
    </w:p>
    <w:p w:rsidR="00141858" w:rsidRDefault="00141858" w:rsidP="00141858">
      <w:pPr>
        <w:pStyle w:val="a3"/>
      </w:pPr>
      <w:r>
        <w:rPr>
          <w:rStyle w:val="a5"/>
        </w:rPr>
        <w:t> </w:t>
      </w:r>
    </w:p>
    <w:p w:rsidR="00141858" w:rsidRDefault="00141858" w:rsidP="00141858">
      <w:pPr>
        <w:pStyle w:val="a3"/>
      </w:pPr>
      <w:r>
        <w:rPr>
          <w:rStyle w:val="a5"/>
        </w:rPr>
        <w:t xml:space="preserve">Об информации о ходе подготовки к </w:t>
      </w:r>
    </w:p>
    <w:p w:rsidR="00141858" w:rsidRDefault="00141858" w:rsidP="00141858">
      <w:pPr>
        <w:pStyle w:val="a3"/>
      </w:pPr>
      <w:r>
        <w:rPr>
          <w:rStyle w:val="a5"/>
        </w:rPr>
        <w:t>отопительному периоду 2022-2023 годов</w:t>
      </w:r>
    </w:p>
    <w:p w:rsidR="00141858" w:rsidRDefault="00141858" w:rsidP="00141858">
      <w:pPr>
        <w:pStyle w:val="a3"/>
      </w:pPr>
      <w:r>
        <w:t> </w:t>
      </w:r>
    </w:p>
    <w:p w:rsidR="00141858" w:rsidRDefault="00141858" w:rsidP="00141858">
      <w:pPr>
        <w:pStyle w:val="a3"/>
      </w:pPr>
      <w:r>
        <w:t>В соответствии с Федеральным законом от 06.10.2003 № 131-ФЗ «Об общих принципах организации местного самоуправления в Российской Федерации»,</w:t>
      </w:r>
    </w:p>
    <w:p w:rsidR="00141858" w:rsidRDefault="00141858" w:rsidP="00141858">
      <w:pPr>
        <w:pStyle w:val="a3"/>
      </w:pPr>
      <w:r>
        <w:t>Дума Новгородского муниципального района</w:t>
      </w:r>
    </w:p>
    <w:p w:rsidR="00141858" w:rsidRDefault="00141858" w:rsidP="00141858">
      <w:pPr>
        <w:pStyle w:val="a3"/>
      </w:pPr>
      <w:r>
        <w:rPr>
          <w:rStyle w:val="a5"/>
        </w:rPr>
        <w:t>РЕШИЛА:</w:t>
      </w:r>
    </w:p>
    <w:p w:rsidR="00141858" w:rsidRDefault="00141858" w:rsidP="00141858">
      <w:pPr>
        <w:pStyle w:val="a3"/>
      </w:pPr>
      <w:r>
        <w:t>принять к сведению прилагаемую информацию председателя комитета коммунального хозяйства, энергетики, транспорта и связи Администрации Новгородского муниципального района Н.Н. Дмитриевой о ходе подготовки объектов ЖКХ к отопительному периоду 2022-2023 годов.</w:t>
      </w:r>
    </w:p>
    <w:p w:rsidR="00141858" w:rsidRDefault="00141858" w:rsidP="00141858">
      <w:pPr>
        <w:pStyle w:val="a3"/>
      </w:pPr>
      <w:r>
        <w:t> </w:t>
      </w:r>
    </w:p>
    <w:p w:rsidR="00141858" w:rsidRDefault="00141858" w:rsidP="00141858">
      <w:pPr>
        <w:pStyle w:val="a3"/>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8"/>
        <w:gridCol w:w="4687"/>
      </w:tblGrid>
      <w:tr w:rsidR="00141858" w:rsidTr="00141858">
        <w:trPr>
          <w:tblCellSpacing w:w="15" w:type="dxa"/>
        </w:trPr>
        <w:tc>
          <w:tcPr>
            <w:tcW w:w="4785" w:type="dxa"/>
            <w:vAlign w:val="center"/>
            <w:hideMark/>
          </w:tcPr>
          <w:p w:rsidR="00141858" w:rsidRDefault="00141858">
            <w:pPr>
              <w:pStyle w:val="a3"/>
            </w:pPr>
            <w:r>
              <w:t>Председатель Думы</w:t>
            </w:r>
          </w:p>
          <w:p w:rsidR="00141858" w:rsidRDefault="00141858">
            <w:pPr>
              <w:pStyle w:val="a3"/>
            </w:pPr>
            <w:r>
              <w:t>Новгородского муниципального района</w:t>
            </w:r>
          </w:p>
          <w:p w:rsidR="00141858" w:rsidRDefault="00141858">
            <w:pPr>
              <w:pStyle w:val="a3"/>
            </w:pPr>
            <w:r>
              <w:t> </w:t>
            </w:r>
          </w:p>
        </w:tc>
        <w:tc>
          <w:tcPr>
            <w:tcW w:w="4785" w:type="dxa"/>
            <w:vAlign w:val="center"/>
            <w:hideMark/>
          </w:tcPr>
          <w:p w:rsidR="00141858" w:rsidRDefault="00141858">
            <w:pPr>
              <w:pStyle w:val="a3"/>
            </w:pPr>
            <w:r>
              <w:t>                           Д.Н. Гаврилов</w:t>
            </w:r>
          </w:p>
          <w:p w:rsidR="00141858" w:rsidRDefault="00141858">
            <w:pPr>
              <w:pStyle w:val="a3"/>
            </w:pPr>
            <w:r>
              <w:t> </w:t>
            </w:r>
          </w:p>
        </w:tc>
      </w:tr>
    </w:tbl>
    <w:p w:rsidR="00141858" w:rsidRDefault="00141858" w:rsidP="00141858">
      <w:pPr>
        <w:pStyle w:val="a3"/>
      </w:pPr>
      <w:r>
        <w:lastRenderedPageBreak/>
        <w:t> </w:t>
      </w:r>
    </w:p>
    <w:p w:rsidR="00141858" w:rsidRDefault="00141858" w:rsidP="00141858">
      <w:pPr>
        <w:pStyle w:val="a3"/>
      </w:pPr>
      <w:r>
        <w:t> </w:t>
      </w:r>
    </w:p>
    <w:p w:rsidR="00141858" w:rsidRDefault="00141858" w:rsidP="00141858">
      <w:pPr>
        <w:pStyle w:val="a3"/>
      </w:pPr>
      <w:r>
        <w:rPr>
          <w:rStyle w:val="a5"/>
        </w:rPr>
        <w:t>Информация о ходе подготовки объектов ЖКХ к отопительному периоду 2022-2023 годов.</w:t>
      </w:r>
    </w:p>
    <w:p w:rsidR="00141858" w:rsidRDefault="00141858" w:rsidP="00141858">
      <w:pPr>
        <w:pStyle w:val="a3"/>
      </w:pPr>
      <w:r>
        <w:rPr>
          <w:rStyle w:val="a5"/>
        </w:rPr>
        <w:t> </w:t>
      </w:r>
    </w:p>
    <w:p w:rsidR="00141858" w:rsidRDefault="00141858" w:rsidP="00141858">
      <w:pPr>
        <w:pStyle w:val="a3"/>
      </w:pPr>
      <w:r>
        <w:t>Подготовка к отопительному периоду 2022/2023 года проводится в соответствии с распоряжением Администрации Новгородского муниципального района от  16.05.2022 №846-рг «О подготовке и проведении отопительного периода 2022/2023 года».</w:t>
      </w:r>
    </w:p>
    <w:p w:rsidR="00141858" w:rsidRDefault="00141858" w:rsidP="00141858">
      <w:pPr>
        <w:pStyle w:val="a3"/>
      </w:pPr>
      <w:r>
        <w:t>      В Новгородском районе работают 3 теплоснабжающие организации, которые обслуживают 48 котельных района: ООО «ТК Новгородская» - 46 котельных, ООО «Техномакс» -1 газовая котельная, расположенная на ул. Молодежная  в  д.Григорово,  МУП «КХНР» - 1 газовая котельная, расположенная на ул. Елисеева  в  п. Пролетарий.</w:t>
      </w:r>
    </w:p>
    <w:p w:rsidR="00141858" w:rsidRDefault="00141858" w:rsidP="00141858">
      <w:pPr>
        <w:pStyle w:val="a3"/>
      </w:pPr>
      <w:r>
        <w:t>       Из 46 котельных ООО «ТК Новгородская» - 31 работает на газообразном топливе, 11 – на угле, 1 – на торфе, 1 – на древесных брикетах, 2- на смешанном топливе.</w:t>
      </w:r>
    </w:p>
    <w:p w:rsidR="00141858" w:rsidRDefault="00141858" w:rsidP="00141858">
      <w:pPr>
        <w:pStyle w:val="a3"/>
      </w:pPr>
      <w:r>
        <w:t xml:space="preserve">     Планом капитального и текущего ремонта ООО «ТК Новгородская» на подготовку к отопительному периоду 2022/2023 года предусмотрено </w:t>
      </w:r>
      <w:r>
        <w:rPr>
          <w:rStyle w:val="a5"/>
        </w:rPr>
        <w:t>11, 659 млн. рублей</w:t>
      </w:r>
      <w:r>
        <w:t xml:space="preserve">, из них на проведение капитального ремонта – </w:t>
      </w:r>
      <w:r>
        <w:rPr>
          <w:rStyle w:val="a5"/>
        </w:rPr>
        <w:t>7,167 млн.  рублей</w:t>
      </w:r>
      <w:r>
        <w:t>.</w:t>
      </w:r>
    </w:p>
    <w:p w:rsidR="00141858" w:rsidRDefault="00141858" w:rsidP="00141858">
      <w:pPr>
        <w:pStyle w:val="a3"/>
      </w:pPr>
      <w:r>
        <w:t>    По состоянию на 26.08.2022:</w:t>
      </w:r>
    </w:p>
    <w:p w:rsidR="00141858" w:rsidRDefault="00141858" w:rsidP="00141858">
      <w:pPr>
        <w:pStyle w:val="a3"/>
      </w:pPr>
      <w:r>
        <w:rPr>
          <w:rStyle w:val="a5"/>
        </w:rPr>
        <w:t xml:space="preserve">     Подготовлено: </w:t>
      </w:r>
      <w:r>
        <w:t> - 96,0 км. тепловых сетей (ЦО - 74,8 км; ГВС - 21,2 км);</w:t>
      </w:r>
    </w:p>
    <w:p w:rsidR="00141858" w:rsidRDefault="00141858" w:rsidP="00141858">
      <w:pPr>
        <w:pStyle w:val="a3"/>
      </w:pPr>
      <w:r>
        <w:rPr>
          <w:rStyle w:val="a5"/>
        </w:rPr>
        <w:t xml:space="preserve">     Заменено - </w:t>
      </w:r>
      <w:r>
        <w:t>тепловых сетей 0,25 км (в 2-х трубном исполнении), в том числе теплосети ЦО- 0,19 км, сети ГВС- 0,06 км,  9 котлов,  запорная арматура 9 ед, 1 водонагреватель;</w:t>
      </w:r>
    </w:p>
    <w:p w:rsidR="00141858" w:rsidRDefault="00141858" w:rsidP="00141858">
      <w:pPr>
        <w:pStyle w:val="a3"/>
      </w:pPr>
      <w:r>
        <w:rPr>
          <w:rStyle w:val="a5"/>
        </w:rPr>
        <w:t>      Отремонтировано -</w:t>
      </w:r>
      <w:r>
        <w:t xml:space="preserve"> 125 котлов;   133 насоса; 30  водонагревателей;   2660 ед. запорной арматуры; 40 вентиляторов и дымососов.</w:t>
      </w:r>
    </w:p>
    <w:p w:rsidR="00141858" w:rsidRDefault="00141858" w:rsidP="00141858">
      <w:pPr>
        <w:pStyle w:val="a3"/>
      </w:pPr>
      <w:r>
        <w:rPr>
          <w:rStyle w:val="a5"/>
        </w:rPr>
        <w:t xml:space="preserve">       Подготовлено </w:t>
      </w:r>
      <w:r>
        <w:t>к работе -  7 дизель-генераторов.</w:t>
      </w:r>
    </w:p>
    <w:p w:rsidR="00141858" w:rsidRDefault="00141858" w:rsidP="00141858">
      <w:pPr>
        <w:pStyle w:val="a3"/>
      </w:pPr>
      <w:r>
        <w:rPr>
          <w:rStyle w:val="a5"/>
        </w:rPr>
        <w:t>Запасы топлива на 26.08.2022:</w:t>
      </w:r>
    </w:p>
    <w:p w:rsidR="00141858" w:rsidRDefault="00141858" w:rsidP="00141858">
      <w:pPr>
        <w:pStyle w:val="a3"/>
      </w:pPr>
      <w:r>
        <w:rPr>
          <w:rStyle w:val="a6"/>
          <w:b/>
          <w:bCs/>
          <w:u w:val="single"/>
        </w:rPr>
        <w:t>Уголь:</w:t>
      </w:r>
      <w:r>
        <w:t>   Остаток угля составляет 379,4 тн., (на 20 дней).    </w:t>
      </w:r>
    </w:p>
    <w:p w:rsidR="00141858" w:rsidRDefault="00141858" w:rsidP="00141858">
      <w:pPr>
        <w:pStyle w:val="a3"/>
      </w:pPr>
      <w:r>
        <w:t>  Поставка угля для Новгородского района теплоснабжения ожидается в конце августа – начале сентября .</w:t>
      </w:r>
    </w:p>
    <w:p w:rsidR="00141858" w:rsidRDefault="00141858" w:rsidP="00141858">
      <w:pPr>
        <w:pStyle w:val="a3"/>
      </w:pPr>
      <w:r>
        <w:rPr>
          <w:rStyle w:val="a6"/>
          <w:b/>
          <w:bCs/>
          <w:u w:val="single"/>
        </w:rPr>
        <w:t xml:space="preserve">Пеллеты </w:t>
      </w:r>
    </w:p>
    <w:p w:rsidR="00141858" w:rsidRDefault="00141858" w:rsidP="00141858">
      <w:pPr>
        <w:pStyle w:val="a3"/>
      </w:pPr>
      <w:r>
        <w:t>     Остаток пеллет составляет 6,9 тн.,(на 3 дня).  Договор на поставку пеллет заключен в августе. Резервное топливо - уголь.</w:t>
      </w:r>
    </w:p>
    <w:p w:rsidR="00141858" w:rsidRDefault="00141858" w:rsidP="00141858">
      <w:pPr>
        <w:pStyle w:val="a3"/>
      </w:pPr>
      <w:r>
        <w:rPr>
          <w:rStyle w:val="a6"/>
          <w:b/>
          <w:bCs/>
          <w:u w:val="single"/>
        </w:rPr>
        <w:t>Торф:</w:t>
      </w:r>
      <w:r>
        <w:t xml:space="preserve"> Договор на поставку торфа будет заключен в июле. Резервное топливо - уголь.</w:t>
      </w:r>
    </w:p>
    <w:p w:rsidR="00141858" w:rsidRDefault="00141858" w:rsidP="00141858">
      <w:pPr>
        <w:pStyle w:val="a3"/>
      </w:pPr>
      <w:r>
        <w:lastRenderedPageBreak/>
        <w:t>Услуги по водоснабжению и водоотведению оказывают 4 ресурсоснабжающие организации:</w:t>
      </w:r>
    </w:p>
    <w:p w:rsidR="00141858" w:rsidRDefault="00141858" w:rsidP="00141858">
      <w:pPr>
        <w:numPr>
          <w:ilvl w:val="0"/>
          <w:numId w:val="3"/>
        </w:numPr>
        <w:spacing w:before="100" w:beforeAutospacing="1" w:after="100" w:afterAutospacing="1" w:line="240" w:lineRule="auto"/>
      </w:pPr>
      <w:r>
        <w:t>МУП «Коммунальное хозяйство Новгородского района»;</w:t>
      </w:r>
    </w:p>
    <w:p w:rsidR="00141858" w:rsidRDefault="00141858" w:rsidP="00141858">
      <w:pPr>
        <w:numPr>
          <w:ilvl w:val="0"/>
          <w:numId w:val="3"/>
        </w:numPr>
        <w:spacing w:before="100" w:beforeAutospacing="1" w:after="100" w:afterAutospacing="1" w:line="240" w:lineRule="auto"/>
      </w:pPr>
      <w:r>
        <w:t>МУП «Новгородский водоканал»;</w:t>
      </w:r>
    </w:p>
    <w:p w:rsidR="00141858" w:rsidRDefault="00141858" w:rsidP="00141858">
      <w:pPr>
        <w:numPr>
          <w:ilvl w:val="0"/>
          <w:numId w:val="3"/>
        </w:numPr>
        <w:spacing w:before="100" w:beforeAutospacing="1" w:after="100" w:afterAutospacing="1" w:line="240" w:lineRule="auto"/>
      </w:pPr>
      <w:r>
        <w:t>ООО «Новгородский бекон»;</w:t>
      </w:r>
    </w:p>
    <w:p w:rsidR="00141858" w:rsidRDefault="00141858" w:rsidP="00141858">
      <w:pPr>
        <w:numPr>
          <w:ilvl w:val="0"/>
          <w:numId w:val="3"/>
        </w:numPr>
        <w:spacing w:before="100" w:beforeAutospacing="1" w:after="100" w:afterAutospacing="1" w:line="240" w:lineRule="auto"/>
      </w:pPr>
      <w:r>
        <w:t>ООО «Мста».</w:t>
      </w:r>
    </w:p>
    <w:p w:rsidR="00141858" w:rsidRDefault="00141858" w:rsidP="00141858">
      <w:pPr>
        <w:pStyle w:val="a3"/>
      </w:pPr>
      <w:r>
        <w:t>По состоянию на 26.08.2022 МУП «Коммунальное хозяйство Новгородского района»:</w:t>
      </w:r>
    </w:p>
    <w:p w:rsidR="00141858" w:rsidRDefault="00141858" w:rsidP="00141858">
      <w:pPr>
        <w:pStyle w:val="a3"/>
      </w:pPr>
      <w:r>
        <w:rPr>
          <w:rStyle w:val="a5"/>
        </w:rPr>
        <w:t xml:space="preserve">Заменено - </w:t>
      </w:r>
      <w:r>
        <w:t>3,4 км. водопроводных сетей, 0,6 км. канализационных сетей, 3   водоразборные колонки;</w:t>
      </w:r>
    </w:p>
    <w:p w:rsidR="00141858" w:rsidRDefault="00141858" w:rsidP="00141858">
      <w:pPr>
        <w:pStyle w:val="a3"/>
      </w:pPr>
      <w:r>
        <w:rPr>
          <w:rStyle w:val="a5"/>
        </w:rPr>
        <w:t>Подготовлено -</w:t>
      </w:r>
      <w:r>
        <w:t>199,1км  водопроводных сетей, 160,9 км - канализационных сетей, 7 очистных сооружений водопровода, 7 очистных  сооружений канализации, 29 артезианских скважин;</w:t>
      </w:r>
    </w:p>
    <w:p w:rsidR="00141858" w:rsidRDefault="00141858" w:rsidP="00141858">
      <w:pPr>
        <w:pStyle w:val="a3"/>
      </w:pPr>
      <w:r>
        <w:t>   На данные работы израсходовано –</w:t>
      </w:r>
      <w:r>
        <w:rPr>
          <w:rStyle w:val="a5"/>
        </w:rPr>
        <w:t xml:space="preserve"> 3,5 млн. руб.</w:t>
      </w:r>
    </w:p>
    <w:p w:rsidR="00141858" w:rsidRDefault="00141858" w:rsidP="00141858">
      <w:pPr>
        <w:pStyle w:val="a3"/>
      </w:pPr>
      <w:r>
        <w:t xml:space="preserve">       В период работ по подготовке к отопительному периоду 2022/2023 годов МУП «Новгородский водоканал </w:t>
      </w:r>
      <w:r>
        <w:rPr>
          <w:rStyle w:val="a5"/>
        </w:rPr>
        <w:t xml:space="preserve">подготовлено 38,6 км- </w:t>
      </w:r>
      <w:r>
        <w:t>водопроводных сетей; 42,6 км - канализационных сетей, водоразборных  колонок 26 шт.</w:t>
      </w:r>
    </w:p>
    <w:p w:rsidR="00141858" w:rsidRDefault="00141858" w:rsidP="00141858">
      <w:pPr>
        <w:pStyle w:val="a3"/>
      </w:pPr>
      <w:r>
        <w:t>Услуги по электроснабжению оказывают 2 ресурсоснабжающие организации:</w:t>
      </w:r>
    </w:p>
    <w:p w:rsidR="00141858" w:rsidRDefault="00141858" w:rsidP="00141858">
      <w:pPr>
        <w:numPr>
          <w:ilvl w:val="0"/>
          <w:numId w:val="4"/>
        </w:numPr>
        <w:spacing w:before="100" w:beforeAutospacing="1" w:after="100" w:afterAutospacing="1" w:line="240" w:lineRule="auto"/>
      </w:pPr>
      <w:r>
        <w:t>ПО «Ильменские электрические сети» филиала ПО «Ильменские электрические сети»  филиала ПАО «МРСК Северо-Запада»;</w:t>
      </w:r>
    </w:p>
    <w:p w:rsidR="00141858" w:rsidRDefault="00141858" w:rsidP="00141858">
      <w:pPr>
        <w:numPr>
          <w:ilvl w:val="0"/>
          <w:numId w:val="4"/>
        </w:numPr>
        <w:spacing w:before="100" w:beforeAutospacing="1" w:after="100" w:afterAutospacing="1" w:line="240" w:lineRule="auto"/>
      </w:pPr>
      <w:r>
        <w:t>АО «Новгородоблэлектро ».</w:t>
      </w:r>
    </w:p>
    <w:p w:rsidR="00141858" w:rsidRDefault="00141858" w:rsidP="00141858">
      <w:pPr>
        <w:pStyle w:val="a3"/>
      </w:pPr>
      <w:r>
        <w:t>       Данные организации обслуживают на  территории района  3,197 тыс. км электрических сетей, 975 ед. КТП.</w:t>
      </w:r>
    </w:p>
    <w:p w:rsidR="00141858" w:rsidRDefault="00141858" w:rsidP="00141858">
      <w:pPr>
        <w:pStyle w:val="a3"/>
      </w:pPr>
      <w:r>
        <w:t>По состоянию на 26.08.2022:</w:t>
      </w:r>
    </w:p>
    <w:p w:rsidR="00141858" w:rsidRDefault="00141858" w:rsidP="00141858">
      <w:pPr>
        <w:pStyle w:val="a3"/>
      </w:pPr>
      <w:r>
        <w:rPr>
          <w:rStyle w:val="a5"/>
        </w:rPr>
        <w:t>Подготовлено</w:t>
      </w:r>
      <w:r>
        <w:t>    3,197 тыс. км, электрических сетей;</w:t>
      </w:r>
    </w:p>
    <w:p w:rsidR="00141858" w:rsidRDefault="00141858" w:rsidP="00141858">
      <w:pPr>
        <w:pStyle w:val="a3"/>
      </w:pPr>
      <w:r>
        <w:rPr>
          <w:rStyle w:val="a5"/>
        </w:rPr>
        <w:t>Выполнен</w:t>
      </w:r>
      <w:r>
        <w:t xml:space="preserve"> капитальный ремонт 34 подстанций;</w:t>
      </w:r>
    </w:p>
    <w:p w:rsidR="00141858" w:rsidRDefault="00141858" w:rsidP="00141858">
      <w:pPr>
        <w:pStyle w:val="a3"/>
      </w:pPr>
      <w:r>
        <w:rPr>
          <w:rStyle w:val="a5"/>
        </w:rPr>
        <w:t>отремонтировано</w:t>
      </w:r>
      <w:r>
        <w:t xml:space="preserve"> -21 КТП;</w:t>
      </w:r>
    </w:p>
    <w:p w:rsidR="00141858" w:rsidRDefault="00141858" w:rsidP="00141858">
      <w:pPr>
        <w:pStyle w:val="a3"/>
      </w:pPr>
      <w:r>
        <w:rPr>
          <w:rStyle w:val="a5"/>
        </w:rPr>
        <w:t>Заменено</w:t>
      </w:r>
      <w:r>
        <w:t xml:space="preserve"> 29  опор линии электроснабжения, 5 КТП;</w:t>
      </w:r>
    </w:p>
    <w:p w:rsidR="00141858" w:rsidRDefault="00141858" w:rsidP="00141858">
      <w:pPr>
        <w:pStyle w:val="a3"/>
      </w:pPr>
      <w:r>
        <w:rPr>
          <w:rStyle w:val="a5"/>
        </w:rPr>
        <w:t xml:space="preserve">Расчищено </w:t>
      </w:r>
      <w:r>
        <w:t>220,59 тыс. кв.м. просек ВЛ от кустарников, сваленных деревьев и сучьев.</w:t>
      </w:r>
    </w:p>
    <w:p w:rsidR="00141858" w:rsidRDefault="00141858" w:rsidP="00141858">
      <w:pPr>
        <w:pStyle w:val="a3"/>
      </w:pPr>
      <w:r>
        <w:t xml:space="preserve">         Для подготовки объектов электросетевого хозяйства  израсходовано- </w:t>
      </w:r>
      <w:r>
        <w:rPr>
          <w:rStyle w:val="a5"/>
        </w:rPr>
        <w:t> 21, 781  млн.руб.</w:t>
      </w:r>
    </w:p>
    <w:p w:rsidR="00141858" w:rsidRDefault="00141858" w:rsidP="00141858">
      <w:pPr>
        <w:pStyle w:val="a3"/>
      </w:pPr>
      <w:r>
        <w:t>На территории Новгородского муниципального района находится 453    многоквартирных дома, общей площадью 769,3 тыс. кв. м. (уменьшилось на 4 МКД по сравнению с 2021 годом в связи с расселением и сносом аварийных домов:  п.Пролетарий ул.Ленинградская д.14, д.12  д.Новониколаевское д.41, д.Холынья д.6)          </w:t>
      </w:r>
    </w:p>
    <w:p w:rsidR="00141858" w:rsidRDefault="00141858" w:rsidP="00141858">
      <w:pPr>
        <w:pStyle w:val="a3"/>
      </w:pPr>
      <w:r>
        <w:lastRenderedPageBreak/>
        <w:t>         В управлении управляющими организациями – 143 многоквартирных дома, заключены договора на обслуживание 171 многоквартирным домом, в управлении ТСЖ (ТСН) – 36 многоквартирных домов, на непосредственном управлении (без заключения договоров обслуживания) – 37 многоквартирных домов, без обслуживания – 66 многоквартирных домов.</w:t>
      </w:r>
    </w:p>
    <w:p w:rsidR="00141858" w:rsidRDefault="00141858" w:rsidP="00141858">
      <w:pPr>
        <w:pStyle w:val="a3"/>
      </w:pPr>
      <w:r>
        <w:t>            Говоря о жилищном секторе, есть управляющие компании, которые полностью подготовили свои дома к отопительному периоду – это ООО "УК Выбор", ООО "УК "Хозяйство жилищное", ООО  «Север», ООО  «Содружество», ООО «СК «Антей», УК  «Доверительное управление домом», ООО  «ОК Благовест», ООО «УК Коммунальный стандарт», ООО "Гарант Премиум", УК  «Прометей». Из 34 ТСЖ готовы 29.</w:t>
      </w:r>
    </w:p>
    <w:p w:rsidR="00141858" w:rsidRDefault="00141858" w:rsidP="00141858">
      <w:pPr>
        <w:pStyle w:val="a3"/>
      </w:pPr>
      <w:r>
        <w:t>По состоянию на 26.08.2022 подготовлено  379 многоквартирных дома, что составляет 83% от общего объема жилищного фонда Новгородского района.</w:t>
      </w:r>
    </w:p>
    <w:p w:rsidR="00141858" w:rsidRDefault="00141858" w:rsidP="00141858">
      <w:pPr>
        <w:pStyle w:val="a3"/>
      </w:pPr>
      <w:r>
        <w:t>В целом готовность объектов района к отопительному периоду 2022-2023 составляет 85 %, все работы и мероприятия выполняются согласно утвержденным планам.</w:t>
      </w:r>
    </w:p>
    <w:p w:rsidR="00141858" w:rsidRDefault="00141858" w:rsidP="00141858">
      <w:pPr>
        <w:pStyle w:val="a3"/>
      </w:pPr>
      <w:r>
        <w:t> </w:t>
      </w:r>
    </w:p>
    <w:p w:rsidR="00141858" w:rsidRDefault="00141858" w:rsidP="00141858">
      <w:pPr>
        <w:pStyle w:val="a3"/>
      </w:pPr>
      <w:r>
        <w:t> </w:t>
      </w:r>
    </w:p>
    <w:p w:rsidR="00141858" w:rsidRDefault="00141858" w:rsidP="00141858">
      <w:pPr>
        <w:pStyle w:val="a3"/>
      </w:pPr>
      <w:r>
        <w:t>         </w:t>
      </w:r>
    </w:p>
    <w:p w:rsidR="00141858" w:rsidRDefault="00141858" w:rsidP="00141858">
      <w:pPr>
        <w:pStyle w:val="a3"/>
      </w:pPr>
      <w: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141858" w:rsidRDefault="00141858" w:rsidP="00141858">
      <w:pPr>
        <w:pStyle w:val="a3"/>
      </w:pPr>
      <w:r>
        <w:rPr>
          <w:rStyle w:val="a5"/>
        </w:rPr>
        <w:t> </w:t>
      </w:r>
    </w:p>
    <w:p w:rsidR="00933EB7" w:rsidRPr="00141858" w:rsidRDefault="00933EB7" w:rsidP="00141858">
      <w:bookmarkStart w:id="0" w:name="_GoBack"/>
      <w:bookmarkEnd w:id="0"/>
    </w:p>
    <w:sectPr w:rsidR="00933EB7" w:rsidRPr="00141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F6E25"/>
    <w:multiLevelType w:val="multilevel"/>
    <w:tmpl w:val="C20C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38474A"/>
    <w:multiLevelType w:val="multilevel"/>
    <w:tmpl w:val="6F9E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3E790D"/>
    <w:multiLevelType w:val="multilevel"/>
    <w:tmpl w:val="6F18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8C7129"/>
    <w:multiLevelType w:val="multilevel"/>
    <w:tmpl w:val="F91AE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EB"/>
    <w:rsid w:val="00141858"/>
    <w:rsid w:val="00753AEB"/>
    <w:rsid w:val="007D3865"/>
    <w:rsid w:val="007E639E"/>
    <w:rsid w:val="00933EB7"/>
    <w:rsid w:val="00961F2C"/>
    <w:rsid w:val="009C590F"/>
    <w:rsid w:val="00F8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D856"/>
  <w15:chartTrackingRefBased/>
  <w15:docId w15:val="{15004991-5C46-4443-8771-ABF9424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C5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418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418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639E"/>
    <w:rPr>
      <w:color w:val="0000FF"/>
      <w:u w:val="single"/>
    </w:rPr>
  </w:style>
  <w:style w:type="character" w:styleId="a5">
    <w:name w:val="Strong"/>
    <w:basedOn w:val="a0"/>
    <w:uiPriority w:val="22"/>
    <w:qFormat/>
    <w:rsid w:val="007E639E"/>
    <w:rPr>
      <w:b/>
      <w:bCs/>
    </w:rPr>
  </w:style>
  <w:style w:type="character" w:customStyle="1" w:styleId="10">
    <w:name w:val="Заголовок 1 Знак"/>
    <w:basedOn w:val="a0"/>
    <w:link w:val="1"/>
    <w:uiPriority w:val="9"/>
    <w:rsid w:val="009C59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4185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41858"/>
    <w:rPr>
      <w:rFonts w:asciiTheme="majorHAnsi" w:eastAsiaTheme="majorEastAsia" w:hAnsiTheme="majorHAnsi" w:cstheme="majorBidi"/>
      <w:color w:val="1F4D78" w:themeColor="accent1" w:themeShade="7F"/>
      <w:sz w:val="24"/>
      <w:szCs w:val="24"/>
    </w:rPr>
  </w:style>
  <w:style w:type="character" w:styleId="a6">
    <w:name w:val="Emphasis"/>
    <w:basedOn w:val="a0"/>
    <w:uiPriority w:val="20"/>
    <w:qFormat/>
    <w:rsid w:val="00141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498">
      <w:bodyDiv w:val="1"/>
      <w:marLeft w:val="0"/>
      <w:marRight w:val="0"/>
      <w:marTop w:val="0"/>
      <w:marBottom w:val="0"/>
      <w:divBdr>
        <w:top w:val="none" w:sz="0" w:space="0" w:color="auto"/>
        <w:left w:val="none" w:sz="0" w:space="0" w:color="auto"/>
        <w:bottom w:val="none" w:sz="0" w:space="0" w:color="auto"/>
        <w:right w:val="none" w:sz="0" w:space="0" w:color="auto"/>
      </w:divBdr>
    </w:div>
    <w:div w:id="925070482">
      <w:bodyDiv w:val="1"/>
      <w:marLeft w:val="0"/>
      <w:marRight w:val="0"/>
      <w:marTop w:val="0"/>
      <w:marBottom w:val="0"/>
      <w:divBdr>
        <w:top w:val="none" w:sz="0" w:space="0" w:color="auto"/>
        <w:left w:val="none" w:sz="0" w:space="0" w:color="auto"/>
        <w:bottom w:val="none" w:sz="0" w:space="0" w:color="auto"/>
        <w:right w:val="none" w:sz="0" w:space="0" w:color="auto"/>
      </w:divBdr>
    </w:div>
    <w:div w:id="1247156287">
      <w:bodyDiv w:val="1"/>
      <w:marLeft w:val="0"/>
      <w:marRight w:val="0"/>
      <w:marTop w:val="0"/>
      <w:marBottom w:val="0"/>
      <w:divBdr>
        <w:top w:val="none" w:sz="0" w:space="0" w:color="auto"/>
        <w:left w:val="none" w:sz="0" w:space="0" w:color="auto"/>
        <w:bottom w:val="none" w:sz="0" w:space="0" w:color="auto"/>
        <w:right w:val="none" w:sz="0" w:space="0" w:color="auto"/>
      </w:divBdr>
    </w:div>
    <w:div w:id="14732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9</cp:revision>
  <dcterms:created xsi:type="dcterms:W3CDTF">2023-04-02T04:17:00Z</dcterms:created>
  <dcterms:modified xsi:type="dcterms:W3CDTF">2023-04-02T08:27:00Z</dcterms:modified>
</cp:coreProperties>
</file>