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F3" w:rsidRDefault="00345FF1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bookmarkStart w:id="0" w:name="_GoBack"/>
      <w:bookmarkEnd w:id="0"/>
      <w:r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                                                                                                              Проект</w:t>
      </w: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165EF3" w:rsidRDefault="00345FF1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32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32"/>
          <w:szCs w:val="20"/>
          <w:lang w:val="ru-RU" w:eastAsia="ru-RU" w:bidi="ar-SA"/>
        </w:rPr>
        <w:t xml:space="preserve">П О С Т А Н О В Л Е Н И Е </w:t>
      </w: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165EF3" w:rsidRDefault="00345FF1">
      <w:pPr>
        <w:keepNext/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от                № </w:t>
      </w:r>
    </w:p>
    <w:p w:rsidR="00165EF3" w:rsidRDefault="00345FF1">
      <w:pPr>
        <w:keepNext/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Великий Новгород</w:t>
      </w:r>
      <w:r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</w:t>
      </w:r>
    </w:p>
    <w:p w:rsidR="00165EF3" w:rsidRDefault="00165EF3">
      <w:pPr>
        <w:widowControl/>
        <w:suppressAutoHyphens w:val="0"/>
        <w:spacing w:line="240" w:lineRule="exact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 внесении изменений </w:t>
      </w: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 порядок предоставления</w:t>
      </w: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субсидий социально ориентированным </w:t>
      </w: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некоммерческим организациям, не </w:t>
      </w: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являющимся государственными </w:t>
      </w: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(муниципальными) учреждениями,</w:t>
      </w: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реализующим социально значимые проекты</w:t>
      </w: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на территории Новгородского</w:t>
      </w: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муниципал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ьного района по отдельным</w:t>
      </w:r>
    </w:p>
    <w:p w:rsidR="00165EF3" w:rsidRDefault="00345FF1">
      <w:pPr>
        <w:suppressAutoHyphens w:val="0"/>
        <w:autoSpaceDE w:val="0"/>
        <w:spacing w:line="240" w:lineRule="exac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направлениям деятельности</w:t>
      </w: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165EF3" w:rsidRDefault="00345FF1">
      <w:pPr>
        <w:widowControl/>
        <w:tabs>
          <w:tab w:val="left" w:pos="900"/>
          <w:tab w:val="left" w:pos="1134"/>
          <w:tab w:val="left" w:pos="1276"/>
        </w:tabs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соответствии с Уставом муниципального образования Новгородский муниципальный район внести изменения в порядок предоставления субсидий социально ориентированным некоммерческим организациям, не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являющимся государственными (муниципальными) учреждениями, реализующим социально значимые проекты на территории Новгородского муниципального района по отдельным направлениям деятельности, утвержденный Постановлением Администрации Новгородского муниципально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го района от 01.06.2023 №315 «Об утверждении порядка предоставления субсидий социально ориентированным некоммерческим организациям, реализующим социально значимые проекты» (далее- Порядок). </w:t>
      </w:r>
    </w:p>
    <w:p w:rsidR="00165EF3" w:rsidRDefault="00345FF1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1. Дополнить подпункт 3.1 пункта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  Порядка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следующими абзацами:</w:t>
      </w:r>
    </w:p>
    <w:p w:rsidR="00165EF3" w:rsidRDefault="00345FF1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«- не является иностранным агентом в соответствии с Федеральным законом от 14 июля 2022 года №255-ФЗ «О контроле за деятельностью лиц, находящихся под иностранным влиянием»;</w:t>
      </w:r>
    </w:p>
    <w:p w:rsidR="00165EF3" w:rsidRDefault="00345FF1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на едином налоговом счете отсутствует или не превышает одну тысячу рублей задолж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енность по уплате налогов, сборов и страховых взносов в бюджеты бюджетной системы Российской Федерации;</w:t>
      </w:r>
    </w:p>
    <w:p w:rsidR="00165EF3" w:rsidRDefault="00345FF1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не находится в составляемых в рамках реализации полномочий, предусмотренных главой 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VII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Устава ООН или органами, специально созданными решениями Совета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Безопасности ООН.»</w:t>
      </w:r>
    </w:p>
    <w:p w:rsidR="00165EF3" w:rsidRDefault="00345FF1">
      <w:pPr>
        <w:widowControl/>
        <w:tabs>
          <w:tab w:val="left" w:pos="900"/>
          <w:tab w:val="left" w:pos="1134"/>
          <w:tab w:val="left" w:pos="1276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2.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Изложить подпункт 4.27 пункта 4 </w:t>
      </w:r>
      <w:proofErr w:type="gramStart"/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Порядка  в</w:t>
      </w:r>
      <w:proofErr w:type="gramEnd"/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следующей редакции:</w:t>
      </w:r>
    </w:p>
    <w:p w:rsidR="00165EF3" w:rsidRDefault="00345FF1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«Основаниями для подготовки предложений об отказе в предоставлении субсидии являются:</w:t>
      </w:r>
    </w:p>
    <w:p w:rsidR="00165EF3" w:rsidRDefault="00345FF1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- несоответствие представленных СОНКО документов требованиям, установленным в пункте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4.4  настоящего</w:t>
      </w:r>
      <w:proofErr w:type="gramEnd"/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Порядка, или непредставление (представление не в полном объеме) указанных документов;</w:t>
      </w:r>
    </w:p>
    <w:p w:rsidR="00165EF3" w:rsidRDefault="00345FF1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- установление факта </w:t>
      </w:r>
      <w:proofErr w:type="gramStart"/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недостоверности</w:t>
      </w:r>
      <w:proofErr w:type="gramEnd"/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представленной СОНКО информации;</w:t>
      </w:r>
    </w:p>
    <w:p w:rsidR="00165EF3" w:rsidRDefault="00345FF1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-  присвоение участнику порядкового номера 4 и более в порядке убывания суммарного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количества присвоенных баллов;</w:t>
      </w:r>
    </w:p>
    <w:p w:rsidR="00165EF3" w:rsidRDefault="00345FF1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- недостаточность лимитов бюджетных обязательств.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</w:t>
      </w:r>
    </w:p>
    <w:p w:rsidR="00165EF3" w:rsidRDefault="00165EF3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</w:pPr>
    </w:p>
    <w:p w:rsidR="00165EF3" w:rsidRDefault="00345FF1">
      <w:pPr>
        <w:keepNext/>
        <w:tabs>
          <w:tab w:val="left" w:pos="851"/>
          <w:tab w:val="left" w:pos="1134"/>
        </w:tabs>
        <w:ind w:left="6" w:right="-85" w:firstLine="709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Опубликовать настоящее распоряжение в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периодическом печатном издании Новгородского муниципального района «Официальный вестник Новгородского муниципального района» </w:t>
      </w:r>
      <w:r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и разме</w:t>
      </w:r>
      <w:r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165EF3" w:rsidRDefault="00165EF3">
      <w:pPr>
        <w:widowControl/>
        <w:tabs>
          <w:tab w:val="left" w:pos="900"/>
          <w:tab w:val="left" w:pos="1134"/>
        </w:tabs>
        <w:suppressAutoHyphens w:val="0"/>
        <w:ind w:firstLine="709"/>
        <w:jc w:val="both"/>
        <w:textAlignment w:val="auto"/>
        <w:rPr>
          <w:lang w:val="ru-RU"/>
        </w:rPr>
      </w:pPr>
    </w:p>
    <w:p w:rsidR="00165EF3" w:rsidRDefault="00165EF3">
      <w:pPr>
        <w:widowControl/>
        <w:suppressAutoHyphens w:val="0"/>
        <w:spacing w:line="240" w:lineRule="exact"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65EF3" w:rsidRDefault="00345FF1">
      <w:pPr>
        <w:spacing w:line="240" w:lineRule="exact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Глава муниципального</w:t>
      </w:r>
    </w:p>
    <w:p w:rsidR="00165EF3" w:rsidRDefault="00345FF1">
      <w:pPr>
        <w:spacing w:line="240" w:lineRule="exact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района                                                                                А.А. Дементьев</w:t>
      </w: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165EF3" w:rsidRDefault="00345FF1">
      <w:pPr>
        <w:widowControl/>
        <w:suppressAutoHyphens w:val="0"/>
        <w:textAlignment w:val="auto"/>
      </w:pPr>
      <w:proofErr w:type="gramStart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Согласовано:   </w:t>
      </w:r>
      <w:proofErr w:type="gramEnd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kern w:val="0"/>
          <w:lang w:val="ru-RU" w:eastAsia="ru-RU" w:bidi="ar-SA"/>
        </w:rPr>
        <w:t>Ю.С. Светлова</w:t>
      </w: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345FF1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</w:t>
      </w:r>
    </w:p>
    <w:p w:rsidR="00165EF3" w:rsidRDefault="00345FF1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kern w:val="0"/>
          <w:lang w:val="ru-RU" w:eastAsia="ru-RU" w:bidi="ar-SA"/>
        </w:rPr>
        <w:t xml:space="preserve">                 О.В. Миронова</w:t>
      </w: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345FF1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                                 Н.Е. Васильева</w:t>
      </w: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345F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Проект опубликован на сайте с __________по __________ 2024 года, замечаний к проекту не п</w:t>
      </w:r>
      <w:r>
        <w:rPr>
          <w:rFonts w:eastAsia="Times New Roman" w:cs="Times New Roman"/>
          <w:kern w:val="0"/>
          <w:lang w:val="ru-RU" w:eastAsia="ru-RU" w:bidi="ar-SA"/>
        </w:rPr>
        <w:t xml:space="preserve">оступило ______________ «___» ___________ 2024 г. </w:t>
      </w:r>
    </w:p>
    <w:p w:rsidR="00165EF3" w:rsidRDefault="00165EF3">
      <w:p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345FF1">
      <w:p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Разработчиком проекта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коррупциогенных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факторов не выявлено: _____________________________________________________________</w:t>
      </w:r>
    </w:p>
    <w:p w:rsidR="00165EF3" w:rsidRDefault="00345FF1">
      <w:pPr>
        <w:suppressAutoHyphens w:val="0"/>
        <w:jc w:val="both"/>
        <w:textAlignment w:val="auto"/>
        <w:rPr>
          <w:rFonts w:eastAsia="Times New Roman" w:cs="Times New Roman"/>
          <w:kern w:val="0"/>
          <w:vertAlign w:val="superscript"/>
          <w:lang w:val="ru-RU" w:eastAsia="ru-RU" w:bidi="ar-SA"/>
        </w:rPr>
      </w:pPr>
      <w:r>
        <w:rPr>
          <w:rFonts w:eastAsia="Times New Roman" w:cs="Times New Roman"/>
          <w:kern w:val="0"/>
          <w:vertAlign w:val="superscript"/>
          <w:lang w:val="ru-RU" w:eastAsia="ru-RU" w:bidi="ar-SA"/>
        </w:rPr>
        <w:t xml:space="preserve">            (подпись)</w:t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  <w:t xml:space="preserve">                     </w:t>
      </w:r>
      <w:proofErr w:type="gramStart"/>
      <w:r>
        <w:rPr>
          <w:rFonts w:eastAsia="Times New Roman" w:cs="Times New Roman"/>
          <w:kern w:val="0"/>
          <w:vertAlign w:val="superscript"/>
          <w:lang w:val="ru-RU" w:eastAsia="ru-RU" w:bidi="ar-SA"/>
        </w:rPr>
        <w:t xml:space="preserve">   (</w:t>
      </w:r>
      <w:proofErr w:type="gramEnd"/>
      <w:r>
        <w:rPr>
          <w:rFonts w:eastAsia="Times New Roman" w:cs="Times New Roman"/>
          <w:kern w:val="0"/>
          <w:vertAlign w:val="superscript"/>
          <w:lang w:val="ru-RU" w:eastAsia="ru-RU" w:bidi="ar-SA"/>
        </w:rPr>
        <w:t>расшифровка)</w:t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  <w:t xml:space="preserve">       (дата)</w:t>
      </w:r>
    </w:p>
    <w:p w:rsidR="00165EF3" w:rsidRDefault="00345FF1">
      <w:p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Правовым управлением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коррупциогенных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факторов не выявлено: </w:t>
      </w:r>
    </w:p>
    <w:p w:rsidR="00165EF3" w:rsidRDefault="00345FF1">
      <w:p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___________________________________________________________</w:t>
      </w:r>
    </w:p>
    <w:p w:rsidR="00165EF3" w:rsidRDefault="00345FF1">
      <w:pPr>
        <w:suppressAutoHyphens w:val="0"/>
        <w:jc w:val="both"/>
        <w:textAlignment w:val="auto"/>
        <w:rPr>
          <w:rFonts w:eastAsia="Times New Roman" w:cs="Times New Roman"/>
          <w:kern w:val="0"/>
          <w:vertAlign w:val="superscript"/>
          <w:lang w:val="ru-RU" w:eastAsia="ru-RU" w:bidi="ar-SA"/>
        </w:rPr>
      </w:pPr>
      <w:r>
        <w:rPr>
          <w:rFonts w:eastAsia="Times New Roman" w:cs="Times New Roman"/>
          <w:kern w:val="0"/>
          <w:vertAlign w:val="superscript"/>
          <w:lang w:val="ru-RU" w:eastAsia="ru-RU" w:bidi="ar-SA"/>
        </w:rPr>
        <w:t xml:space="preserve">         (подпись)</w:t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  <w:t xml:space="preserve">                  </w:t>
      </w:r>
      <w:proofErr w:type="gramStart"/>
      <w:r>
        <w:rPr>
          <w:rFonts w:eastAsia="Times New Roman" w:cs="Times New Roman"/>
          <w:kern w:val="0"/>
          <w:vertAlign w:val="superscript"/>
          <w:lang w:val="ru-RU" w:eastAsia="ru-RU" w:bidi="ar-SA"/>
        </w:rPr>
        <w:t xml:space="preserve">   (</w:t>
      </w:r>
      <w:proofErr w:type="gramEnd"/>
      <w:r>
        <w:rPr>
          <w:rFonts w:eastAsia="Times New Roman" w:cs="Times New Roman"/>
          <w:kern w:val="0"/>
          <w:vertAlign w:val="superscript"/>
          <w:lang w:val="ru-RU" w:eastAsia="ru-RU" w:bidi="ar-SA"/>
        </w:rPr>
        <w:t>расшифровка)</w:t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</w:r>
      <w:r>
        <w:rPr>
          <w:rFonts w:eastAsia="Times New Roman" w:cs="Times New Roman"/>
          <w:kern w:val="0"/>
          <w:vertAlign w:val="superscript"/>
          <w:lang w:val="ru-RU" w:eastAsia="ru-RU" w:bidi="ar-SA"/>
        </w:rPr>
        <w:tab/>
        <w:t xml:space="preserve">                      (дата)</w:t>
      </w: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165EF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65EF3" w:rsidRDefault="00345FF1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Исполнитель: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Кабенкова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Д.В  </w:t>
      </w:r>
    </w:p>
    <w:p w:rsidR="00165EF3" w:rsidRDefault="00345FF1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23.05.2024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</w:t>
      </w:r>
    </w:p>
    <w:p w:rsidR="00165EF3" w:rsidRDefault="00345FF1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рассыл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: </w:t>
      </w:r>
      <w:proofErr w:type="spellStart"/>
      <w:proofErr w:type="gramStart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кмс,дело</w:t>
      </w:r>
      <w:proofErr w:type="spellEnd"/>
      <w:proofErr w:type="gramEnd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</w:t>
      </w:r>
    </w:p>
    <w:p w:rsidR="00165EF3" w:rsidRDefault="00165EF3">
      <w:pPr>
        <w:pStyle w:val="Standard"/>
      </w:pPr>
    </w:p>
    <w:sectPr w:rsidR="00165EF3">
      <w:headerReference w:type="default" r:id="rId6"/>
      <w:headerReference w:type="first" r:id="rId7"/>
      <w:pgSz w:w="11906" w:h="16838"/>
      <w:pgMar w:top="1134" w:right="567" w:bottom="993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F1" w:rsidRDefault="00345FF1">
      <w:r>
        <w:separator/>
      </w:r>
    </w:p>
  </w:endnote>
  <w:endnote w:type="continuationSeparator" w:id="0">
    <w:p w:rsidR="00345FF1" w:rsidRDefault="0034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F1" w:rsidRDefault="00345FF1">
      <w:r>
        <w:rPr>
          <w:color w:val="000000"/>
        </w:rPr>
        <w:separator/>
      </w:r>
    </w:p>
  </w:footnote>
  <w:footnote w:type="continuationSeparator" w:id="0">
    <w:p w:rsidR="00345FF1" w:rsidRDefault="0034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46" w:rsidRDefault="00345FF1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B0D97">
      <w:rPr>
        <w:noProof/>
      </w:rPr>
      <w:t>2</w:t>
    </w:r>
    <w:r>
      <w:fldChar w:fldCharType="end"/>
    </w:r>
  </w:p>
  <w:p w:rsidR="00247046" w:rsidRDefault="00345FF1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46" w:rsidRDefault="00345FF1">
    <w:pPr>
      <w:pStyle w:val="a5"/>
      <w:jc w:val="center"/>
    </w:pPr>
  </w:p>
  <w:p w:rsidR="00247046" w:rsidRDefault="00345F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65EF3"/>
    <w:rsid w:val="00165EF3"/>
    <w:rsid w:val="002B0D97"/>
    <w:rsid w:val="0034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C8341-FA44-441A-9D58-B99CF51B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6">
    <w:name w:val="Верхний колонтитул Знак"/>
    <w:basedOn w:val="a0"/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Кожинов Владимир Владимирович</dc:creator>
  <cp:lastModifiedBy>Кожинов Владимир Владимирович</cp:lastModifiedBy>
  <cp:revision>2</cp:revision>
  <cp:lastPrinted>2024-05-24T11:47:00Z</cp:lastPrinted>
  <dcterms:created xsi:type="dcterms:W3CDTF">2024-05-28T17:34:00Z</dcterms:created>
  <dcterms:modified xsi:type="dcterms:W3CDTF">2024-05-28T17:34:00Z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